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540pt;height:126pt;mso-position-horizontal-relative:char;mso-position-vertical-relative:line" id="docshapegroup1" coordorigin="0,0" coordsize="10800,2520">
            <v:shape style="position:absolute;left:0;top:0;width:10800;height:2520" type="#_x0000_t75" id="docshape2" stroked="false">
              <v:imagedata r:id="rId5" o:title=""/>
            </v:shape>
            <v:shape style="position:absolute;left:565;top:422;width:1950;height:1756" type="#_x0000_t75" id="docshape3" stroked="false">
              <v:imagedata r:id="rId6" o:title=""/>
            </v:shape>
            <v:shapetype id="_x0000_t202" o:spt="202" coordsize="21600,21600" path="m,l,21600r21600,l21600,xe">
              <v:stroke joinstyle="miter"/>
              <v:path gradientshapeok="t" o:connecttype="rect"/>
            </v:shapetype>
            <v:shape style="position:absolute;left:0;top:0;width:10800;height:2520" type="#_x0000_t202" id="docshape4" filled="false" stroked="false">
              <v:textbox inset="0,0,0,0">
                <w:txbxContent>
                  <w:p>
                    <w:pPr>
                      <w:spacing w:line="240" w:lineRule="auto" w:before="0"/>
                      <w:rPr>
                        <w:rFonts w:ascii="Times New Roman"/>
                        <w:sz w:val="40"/>
                      </w:rPr>
                    </w:pPr>
                  </w:p>
                  <w:p>
                    <w:pPr>
                      <w:spacing w:line="240" w:lineRule="auto" w:before="4"/>
                      <w:rPr>
                        <w:rFonts w:ascii="Times New Roman"/>
                        <w:sz w:val="49"/>
                      </w:rPr>
                    </w:pPr>
                  </w:p>
                  <w:p>
                    <w:pPr>
                      <w:spacing w:before="0"/>
                      <w:ind w:left="6847" w:right="0" w:firstLine="0"/>
                      <w:jc w:val="left"/>
                      <w:rPr>
                        <w:b/>
                        <w:sz w:val="40"/>
                      </w:rPr>
                    </w:pPr>
                    <w:r>
                      <w:rPr>
                        <w:b/>
                        <w:color w:val="FFFFFF"/>
                        <w:sz w:val="40"/>
                      </w:rPr>
                      <w:t>N</w:t>
                    </w:r>
                    <w:r>
                      <w:rPr>
                        <w:b/>
                        <w:color w:val="FFFFFF"/>
                        <w:spacing w:val="-31"/>
                        <w:sz w:val="40"/>
                      </w:rPr>
                      <w:t> </w:t>
                    </w:r>
                    <w:r>
                      <w:rPr>
                        <w:b/>
                        <w:color w:val="FFFFFF"/>
                        <w:sz w:val="40"/>
                      </w:rPr>
                      <w:t>E</w:t>
                    </w:r>
                    <w:r>
                      <w:rPr>
                        <w:b/>
                        <w:color w:val="FFFFFF"/>
                        <w:spacing w:val="-30"/>
                        <w:sz w:val="40"/>
                      </w:rPr>
                      <w:t> </w:t>
                    </w:r>
                    <w:r>
                      <w:rPr>
                        <w:b/>
                        <w:color w:val="FFFFFF"/>
                        <w:sz w:val="40"/>
                      </w:rPr>
                      <w:t>W</w:t>
                    </w:r>
                    <w:r>
                      <w:rPr>
                        <w:b/>
                        <w:color w:val="FFFFFF"/>
                        <w:spacing w:val="-34"/>
                        <w:sz w:val="40"/>
                      </w:rPr>
                      <w:t> </w:t>
                    </w:r>
                    <w:r>
                      <w:rPr>
                        <w:b/>
                        <w:color w:val="FFFFFF"/>
                        <w:sz w:val="40"/>
                      </w:rPr>
                      <w:t>S</w:t>
                    </w:r>
                    <w:r>
                      <w:rPr>
                        <w:b/>
                        <w:color w:val="FFFFFF"/>
                        <w:spacing w:val="74"/>
                        <w:w w:val="150"/>
                        <w:sz w:val="40"/>
                      </w:rPr>
                      <w:t> </w:t>
                    </w:r>
                    <w:r>
                      <w:rPr>
                        <w:b/>
                        <w:color w:val="FFFFFF"/>
                        <w:sz w:val="40"/>
                      </w:rPr>
                      <w:t>R</w:t>
                    </w:r>
                    <w:r>
                      <w:rPr>
                        <w:b/>
                        <w:color w:val="FFFFFF"/>
                        <w:spacing w:val="-33"/>
                        <w:sz w:val="40"/>
                      </w:rPr>
                      <w:t> </w:t>
                    </w:r>
                    <w:r>
                      <w:rPr>
                        <w:b/>
                        <w:color w:val="FFFFFF"/>
                        <w:sz w:val="40"/>
                      </w:rPr>
                      <w:t>E</w:t>
                    </w:r>
                    <w:r>
                      <w:rPr>
                        <w:b/>
                        <w:color w:val="FFFFFF"/>
                        <w:spacing w:val="-32"/>
                        <w:sz w:val="40"/>
                      </w:rPr>
                      <w:t> </w:t>
                    </w:r>
                    <w:r>
                      <w:rPr>
                        <w:b/>
                        <w:color w:val="FFFFFF"/>
                        <w:sz w:val="40"/>
                      </w:rPr>
                      <w:t>L</w:t>
                    </w:r>
                    <w:r>
                      <w:rPr>
                        <w:b/>
                        <w:color w:val="FFFFFF"/>
                        <w:spacing w:val="-30"/>
                        <w:sz w:val="40"/>
                      </w:rPr>
                      <w:t> </w:t>
                    </w:r>
                    <w:r>
                      <w:rPr>
                        <w:b/>
                        <w:color w:val="FFFFFF"/>
                        <w:sz w:val="40"/>
                      </w:rPr>
                      <w:t>E</w:t>
                    </w:r>
                    <w:r>
                      <w:rPr>
                        <w:b/>
                        <w:color w:val="FFFFFF"/>
                        <w:spacing w:val="-37"/>
                        <w:sz w:val="40"/>
                      </w:rPr>
                      <w:t> </w:t>
                    </w:r>
                    <w:r>
                      <w:rPr>
                        <w:b/>
                        <w:color w:val="FFFFFF"/>
                        <w:sz w:val="40"/>
                      </w:rPr>
                      <w:t>A</w:t>
                    </w:r>
                    <w:r>
                      <w:rPr>
                        <w:b/>
                        <w:color w:val="FFFFFF"/>
                        <w:spacing w:val="-31"/>
                        <w:sz w:val="40"/>
                      </w:rPr>
                      <w:t> </w:t>
                    </w:r>
                    <w:r>
                      <w:rPr>
                        <w:b/>
                        <w:color w:val="FFFFFF"/>
                        <w:spacing w:val="20"/>
                        <w:sz w:val="40"/>
                      </w:rPr>
                      <w:t>SE </w:t>
                    </w:r>
                  </w:p>
                </w:txbxContent>
              </v:textbox>
              <w10:wrap type="none"/>
            </v:shape>
          </v:group>
        </w:pict>
      </w:r>
      <w:r>
        <w:rPr>
          <w:rFonts w:ascii="Times New Roman"/>
          <w:sz w:val="20"/>
        </w:rPr>
      </w:r>
    </w:p>
    <w:p>
      <w:pPr>
        <w:pStyle w:val="BodyText"/>
        <w:spacing w:before="6"/>
        <w:rPr>
          <w:rFonts w:ascii="Times New Roman"/>
          <w:sz w:val="17"/>
        </w:rPr>
      </w:pPr>
    </w:p>
    <w:p>
      <w:pPr>
        <w:spacing w:before="56"/>
        <w:ind w:left="120" w:right="0" w:firstLine="0"/>
        <w:jc w:val="left"/>
        <w:rPr>
          <w:sz w:val="22"/>
        </w:rPr>
      </w:pPr>
      <w:r>
        <w:rPr>
          <w:b/>
          <w:sz w:val="22"/>
        </w:rPr>
        <w:t>FOR</w:t>
      </w:r>
      <w:r>
        <w:rPr>
          <w:b/>
          <w:spacing w:val="-2"/>
          <w:sz w:val="22"/>
        </w:rPr>
        <w:t> </w:t>
      </w:r>
      <w:r>
        <w:rPr>
          <w:b/>
          <w:sz w:val="22"/>
        </w:rPr>
        <w:t>IMMEDIATE</w:t>
      </w:r>
      <w:r>
        <w:rPr>
          <w:b/>
          <w:spacing w:val="-5"/>
          <w:sz w:val="22"/>
        </w:rPr>
        <w:t> </w:t>
      </w:r>
      <w:r>
        <w:rPr>
          <w:b/>
          <w:sz w:val="22"/>
        </w:rPr>
        <w:t>RELEASE-</w:t>
      </w:r>
      <w:r>
        <w:rPr>
          <w:b/>
          <w:spacing w:val="-5"/>
          <w:sz w:val="22"/>
        </w:rPr>
        <w:t> </w:t>
      </w:r>
      <w:r>
        <w:rPr>
          <w:sz w:val="22"/>
        </w:rPr>
        <w:t>May</w:t>
      </w:r>
      <w:r>
        <w:rPr>
          <w:spacing w:val="-4"/>
          <w:sz w:val="22"/>
        </w:rPr>
        <w:t> </w:t>
      </w:r>
      <w:r>
        <w:rPr>
          <w:sz w:val="22"/>
        </w:rPr>
        <w:t>19,</w:t>
      </w:r>
      <w:r>
        <w:rPr>
          <w:spacing w:val="-4"/>
          <w:sz w:val="22"/>
        </w:rPr>
        <w:t> 2023</w:t>
      </w:r>
    </w:p>
    <w:p>
      <w:pPr>
        <w:spacing w:line="249" w:lineRule="auto" w:before="1"/>
        <w:ind w:left="120" w:right="6741" w:firstLine="0"/>
        <w:jc w:val="left"/>
        <w:rPr>
          <w:sz w:val="22"/>
        </w:rPr>
      </w:pPr>
      <w:r>
        <w:rPr>
          <w:sz w:val="22"/>
        </w:rPr>
        <w:t>Zoe Calkins, Communications Director Arkansas</w:t>
      </w:r>
      <w:r>
        <w:rPr>
          <w:spacing w:val="-8"/>
          <w:sz w:val="22"/>
        </w:rPr>
        <w:t> </w:t>
      </w:r>
      <w:r>
        <w:rPr>
          <w:sz w:val="22"/>
        </w:rPr>
        <w:t>Division</w:t>
      </w:r>
      <w:r>
        <w:rPr>
          <w:spacing w:val="-10"/>
          <w:sz w:val="22"/>
        </w:rPr>
        <w:t> </w:t>
      </w:r>
      <w:r>
        <w:rPr>
          <w:sz w:val="22"/>
        </w:rPr>
        <w:t>of</w:t>
      </w:r>
      <w:r>
        <w:rPr>
          <w:spacing w:val="-8"/>
          <w:sz w:val="22"/>
        </w:rPr>
        <w:t> </w:t>
      </w:r>
      <w:r>
        <w:rPr>
          <w:sz w:val="22"/>
        </w:rPr>
        <w:t>Workforce</w:t>
      </w:r>
      <w:r>
        <w:rPr>
          <w:spacing w:val="-10"/>
          <w:sz w:val="22"/>
        </w:rPr>
        <w:t> </w:t>
      </w:r>
      <w:r>
        <w:rPr>
          <w:sz w:val="22"/>
        </w:rPr>
        <w:t>Services </w:t>
      </w:r>
      <w:hyperlink r:id="rId7">
        <w:r>
          <w:rPr>
            <w:color w:val="0000FF"/>
            <w:spacing w:val="-2"/>
            <w:sz w:val="22"/>
            <w:u w:val="single" w:color="0000FF"/>
          </w:rPr>
          <w:t>zoe.calkins@arkansas.gov</w:t>
        </w:r>
      </w:hyperlink>
    </w:p>
    <w:p>
      <w:pPr>
        <w:pStyle w:val="BodyText"/>
        <w:spacing w:before="4"/>
        <w:rPr>
          <w:sz w:val="21"/>
        </w:rPr>
      </w:pPr>
    </w:p>
    <w:p>
      <w:pPr>
        <w:pStyle w:val="Title"/>
      </w:pPr>
      <w:r>
        <w:rPr/>
        <w:t>Arkansas’</w:t>
      </w:r>
      <w:r>
        <w:rPr>
          <w:spacing w:val="-11"/>
        </w:rPr>
        <w:t> </w:t>
      </w:r>
      <w:r>
        <w:rPr/>
        <w:t>Unemployment</w:t>
      </w:r>
      <w:r>
        <w:rPr>
          <w:spacing w:val="-9"/>
        </w:rPr>
        <w:t> </w:t>
      </w:r>
      <w:r>
        <w:rPr/>
        <w:t>Rate</w:t>
      </w:r>
      <w:r>
        <w:rPr>
          <w:spacing w:val="-10"/>
        </w:rPr>
        <w:t> </w:t>
      </w:r>
      <w:r>
        <w:rPr/>
        <w:t>Drops</w:t>
      </w:r>
      <w:r>
        <w:rPr>
          <w:spacing w:val="-9"/>
        </w:rPr>
        <w:t> </w:t>
      </w:r>
      <w:r>
        <w:rPr/>
        <w:t>to</w:t>
      </w:r>
      <w:r>
        <w:rPr>
          <w:spacing w:val="-8"/>
        </w:rPr>
        <w:t> </w:t>
      </w:r>
      <w:r>
        <w:rPr/>
        <w:t>2.8%</w:t>
      </w:r>
      <w:r>
        <w:rPr>
          <w:spacing w:val="-7"/>
        </w:rPr>
        <w:t> </w:t>
      </w:r>
      <w:r>
        <w:rPr/>
        <w:t>in</w:t>
      </w:r>
      <w:r>
        <w:rPr>
          <w:spacing w:val="-10"/>
        </w:rPr>
        <w:t> </w:t>
      </w:r>
      <w:r>
        <w:rPr>
          <w:spacing w:val="-2"/>
        </w:rPr>
        <w:t>April</w:t>
      </w:r>
    </w:p>
    <w:p>
      <w:pPr>
        <w:pStyle w:val="BodyText"/>
        <w:spacing w:line="259" w:lineRule="auto" w:before="81"/>
        <w:ind w:left="120" w:right="111"/>
        <w:jc w:val="both"/>
      </w:pPr>
      <w:r>
        <w:rPr>
          <w:b/>
        </w:rPr>
        <w:t>Little Rock, Ark., May 19, 2023- </w:t>
      </w:r>
      <w:r>
        <w:rPr/>
        <w:t>Today, the Arkansas Division of Workforce Services, in conjunction with the Bureau of Labor Statistics, announced Arkansas’ seasonally adjusted unemployment rate declined two-tenths of a percentage point, from 3.0% in March to 2.8% in April.</w:t>
      </w:r>
      <w:r>
        <w:rPr>
          <w:spacing w:val="40"/>
        </w:rPr>
        <w:t> </w:t>
      </w:r>
      <w:r>
        <w:rPr/>
        <w:t>Down to 3.4% in April, the United States’ jobless rate decreased one-tenth of a percentage point over the month.</w:t>
      </w:r>
    </w:p>
    <w:p>
      <w:pPr>
        <w:pStyle w:val="BodyText"/>
        <w:spacing w:before="105"/>
        <w:ind w:left="120"/>
        <w:jc w:val="both"/>
      </w:pPr>
      <w:r>
        <w:rPr>
          <w:u w:val="single"/>
        </w:rPr>
        <w:t>Arkansas</w:t>
      </w:r>
      <w:r>
        <w:rPr>
          <w:spacing w:val="-3"/>
          <w:u w:val="single"/>
        </w:rPr>
        <w:t> </w:t>
      </w:r>
      <w:r>
        <w:rPr>
          <w:u w:val="single"/>
        </w:rPr>
        <w:t>Civilian</w:t>
      </w:r>
      <w:r>
        <w:rPr>
          <w:spacing w:val="-1"/>
          <w:u w:val="single"/>
        </w:rPr>
        <w:t> </w:t>
      </w:r>
      <w:r>
        <w:rPr>
          <w:u w:val="single"/>
        </w:rPr>
        <w:t>Labor</w:t>
      </w:r>
      <w:r>
        <w:rPr>
          <w:spacing w:val="-5"/>
          <w:u w:val="single"/>
        </w:rPr>
        <w:t> </w:t>
      </w:r>
      <w:r>
        <w:rPr>
          <w:u w:val="single"/>
        </w:rPr>
        <w:t>Force</w:t>
      </w:r>
      <w:r>
        <w:rPr>
          <w:spacing w:val="-1"/>
          <w:u w:val="single"/>
        </w:rPr>
        <w:t> </w:t>
      </w:r>
      <w:r>
        <w:rPr>
          <w:spacing w:val="-2"/>
          <w:u w:val="single"/>
        </w:rPr>
        <w:t>Summary:</w:t>
      </w:r>
    </w:p>
    <w:p>
      <w:pPr>
        <w:pStyle w:val="ListParagraph"/>
        <w:numPr>
          <w:ilvl w:val="0"/>
          <w:numId w:val="1"/>
        </w:numPr>
        <w:tabs>
          <w:tab w:pos="840" w:val="left" w:leader="none"/>
        </w:tabs>
        <w:spacing w:line="256" w:lineRule="auto" w:before="131" w:after="0"/>
        <w:ind w:left="840" w:right="115" w:hanging="360"/>
        <w:jc w:val="both"/>
        <w:rPr>
          <w:sz w:val="24"/>
        </w:rPr>
      </w:pPr>
      <w:r>
        <w:rPr>
          <w:sz w:val="24"/>
        </w:rPr>
        <w:t>In April, Arkansas’ civilian labor force increased by 2,945.</w:t>
      </w:r>
      <w:r>
        <w:rPr>
          <w:spacing w:val="40"/>
          <w:sz w:val="24"/>
        </w:rPr>
        <w:t> </w:t>
      </w:r>
      <w:r>
        <w:rPr>
          <w:sz w:val="24"/>
        </w:rPr>
        <w:t>There were 4,831 more employed and 1,886 fewer unemployed in the State, pushing the unemployment rate down to a new record low of 2.8%. Employment has increased for seven consecutive months, with the labor force participation rate increasing to 57.5% in April.</w:t>
      </w:r>
    </w:p>
    <w:p>
      <w:pPr>
        <w:pStyle w:val="ListParagraph"/>
        <w:numPr>
          <w:ilvl w:val="0"/>
          <w:numId w:val="1"/>
        </w:numPr>
        <w:tabs>
          <w:tab w:pos="840" w:val="left" w:leader="none"/>
        </w:tabs>
        <w:spacing w:line="259" w:lineRule="auto" w:before="116" w:after="0"/>
        <w:ind w:left="839" w:right="113" w:hanging="360"/>
        <w:jc w:val="both"/>
        <w:rPr>
          <w:sz w:val="24"/>
        </w:rPr>
      </w:pPr>
      <w:r>
        <w:rPr>
          <w:sz w:val="24"/>
        </w:rPr>
        <w:t>Compared</w:t>
      </w:r>
      <w:r>
        <w:rPr>
          <w:spacing w:val="-3"/>
          <w:sz w:val="24"/>
        </w:rPr>
        <w:t> </w:t>
      </w:r>
      <w:r>
        <w:rPr>
          <w:sz w:val="24"/>
        </w:rPr>
        <w:t>to</w:t>
      </w:r>
      <w:r>
        <w:rPr>
          <w:spacing w:val="-3"/>
          <w:sz w:val="24"/>
        </w:rPr>
        <w:t> </w:t>
      </w:r>
      <w:r>
        <w:rPr>
          <w:sz w:val="24"/>
        </w:rPr>
        <w:t>April</w:t>
      </w:r>
      <w:r>
        <w:rPr>
          <w:spacing w:val="-4"/>
          <w:sz w:val="24"/>
        </w:rPr>
        <w:t> </w:t>
      </w:r>
      <w:r>
        <w:rPr>
          <w:sz w:val="24"/>
        </w:rPr>
        <w:t>2022,</w:t>
      </w:r>
      <w:r>
        <w:rPr>
          <w:spacing w:val="-4"/>
          <w:sz w:val="24"/>
        </w:rPr>
        <w:t> </w:t>
      </w:r>
      <w:r>
        <w:rPr>
          <w:sz w:val="24"/>
        </w:rPr>
        <w:t>there</w:t>
      </w:r>
      <w:r>
        <w:rPr>
          <w:spacing w:val="-1"/>
          <w:sz w:val="24"/>
        </w:rPr>
        <w:t> </w:t>
      </w:r>
      <w:r>
        <w:rPr>
          <w:sz w:val="24"/>
        </w:rPr>
        <w:t>are</w:t>
      </w:r>
      <w:r>
        <w:rPr>
          <w:spacing w:val="-3"/>
          <w:sz w:val="24"/>
        </w:rPr>
        <w:t> </w:t>
      </w:r>
      <w:r>
        <w:rPr>
          <w:sz w:val="24"/>
        </w:rPr>
        <w:t>12,869</w:t>
      </w:r>
      <w:r>
        <w:rPr>
          <w:spacing w:val="-1"/>
          <w:sz w:val="24"/>
        </w:rPr>
        <w:t> </w:t>
      </w:r>
      <w:r>
        <w:rPr>
          <w:sz w:val="24"/>
        </w:rPr>
        <w:t>more</w:t>
      </w:r>
      <w:r>
        <w:rPr>
          <w:spacing w:val="-1"/>
          <w:sz w:val="24"/>
        </w:rPr>
        <w:t> </w:t>
      </w:r>
      <w:r>
        <w:rPr>
          <w:sz w:val="24"/>
        </w:rPr>
        <w:t>employed</w:t>
      </w:r>
      <w:r>
        <w:rPr>
          <w:spacing w:val="-3"/>
          <w:sz w:val="24"/>
        </w:rPr>
        <w:t> </w:t>
      </w:r>
      <w:r>
        <w:rPr>
          <w:sz w:val="24"/>
        </w:rPr>
        <w:t>Arkansans.</w:t>
      </w:r>
      <w:r>
        <w:rPr>
          <w:spacing w:val="40"/>
          <w:sz w:val="24"/>
        </w:rPr>
        <w:t> </w:t>
      </w:r>
      <w:r>
        <w:rPr>
          <w:sz w:val="24"/>
        </w:rPr>
        <w:t>The</w:t>
      </w:r>
      <w:r>
        <w:rPr>
          <w:spacing w:val="-3"/>
          <w:sz w:val="24"/>
        </w:rPr>
        <w:t> </w:t>
      </w:r>
      <w:r>
        <w:rPr>
          <w:sz w:val="24"/>
        </w:rPr>
        <w:t>unemployment</w:t>
      </w:r>
      <w:r>
        <w:rPr>
          <w:spacing w:val="-3"/>
          <w:sz w:val="24"/>
        </w:rPr>
        <w:t> </w:t>
      </w:r>
      <w:r>
        <w:rPr>
          <w:sz w:val="24"/>
        </w:rPr>
        <w:t>rate</w:t>
      </w:r>
      <w:r>
        <w:rPr>
          <w:spacing w:val="-3"/>
          <w:sz w:val="24"/>
        </w:rPr>
        <w:t> </w:t>
      </w:r>
      <w:r>
        <w:rPr>
          <w:sz w:val="24"/>
        </w:rPr>
        <w:t>is</w:t>
      </w:r>
      <w:r>
        <w:rPr>
          <w:spacing w:val="-2"/>
          <w:sz w:val="24"/>
        </w:rPr>
        <w:t> </w:t>
      </w:r>
      <w:r>
        <w:rPr>
          <w:sz w:val="24"/>
        </w:rPr>
        <w:t>down three-tenths of a percentage point over the year, while the labor force participation rate remains two- tenths of a percentage point lower than last April.</w:t>
      </w:r>
    </w:p>
    <w:p>
      <w:pPr>
        <w:pStyle w:val="BodyText"/>
        <w:spacing w:before="102"/>
        <w:ind w:left="120"/>
        <w:jc w:val="both"/>
      </w:pPr>
      <w:r>
        <w:rPr>
          <w:u w:val="single"/>
        </w:rPr>
        <w:t>Arkansas</w:t>
      </w:r>
      <w:r>
        <w:rPr>
          <w:spacing w:val="-3"/>
          <w:u w:val="single"/>
        </w:rPr>
        <w:t> </w:t>
      </w:r>
      <w:r>
        <w:rPr>
          <w:u w:val="single"/>
        </w:rPr>
        <w:t>Nonfarm</w:t>
      </w:r>
      <w:r>
        <w:rPr>
          <w:spacing w:val="-2"/>
          <w:u w:val="single"/>
        </w:rPr>
        <w:t> </w:t>
      </w:r>
      <w:r>
        <w:rPr>
          <w:u w:val="single"/>
        </w:rPr>
        <w:t>Payroll</w:t>
      </w:r>
      <w:r>
        <w:rPr>
          <w:spacing w:val="-2"/>
          <w:u w:val="single"/>
        </w:rPr>
        <w:t> </w:t>
      </w:r>
      <w:r>
        <w:rPr>
          <w:u w:val="single"/>
        </w:rPr>
        <w:t>Job</w:t>
      </w:r>
      <w:r>
        <w:rPr>
          <w:spacing w:val="-3"/>
          <w:u w:val="single"/>
        </w:rPr>
        <w:t> </w:t>
      </w:r>
      <w:r>
        <w:rPr>
          <w:spacing w:val="-2"/>
          <w:u w:val="single"/>
        </w:rPr>
        <w:t>Summary:</w:t>
      </w:r>
    </w:p>
    <w:p>
      <w:pPr>
        <w:pStyle w:val="ListParagraph"/>
        <w:numPr>
          <w:ilvl w:val="0"/>
          <w:numId w:val="1"/>
        </w:numPr>
        <w:tabs>
          <w:tab w:pos="840" w:val="left" w:leader="none"/>
        </w:tabs>
        <w:spacing w:line="259" w:lineRule="auto" w:before="131" w:after="0"/>
        <w:ind w:left="840" w:right="114" w:hanging="360"/>
        <w:jc w:val="both"/>
        <w:rPr>
          <w:sz w:val="24"/>
        </w:rPr>
      </w:pPr>
      <w:r>
        <w:rPr>
          <w:sz w:val="24"/>
        </w:rPr>
        <w:t>In April, nonfarm payroll jobs increased to 1,360,700, setting a new record high.</w:t>
      </w:r>
      <w:r>
        <w:rPr>
          <w:spacing w:val="40"/>
          <w:sz w:val="24"/>
        </w:rPr>
        <w:t> </w:t>
      </w:r>
      <w:r>
        <w:rPr>
          <w:sz w:val="24"/>
        </w:rPr>
        <w:t>Jobs in Leisure and Hospitality</w:t>
      </w:r>
      <w:r>
        <w:rPr>
          <w:spacing w:val="-1"/>
          <w:sz w:val="24"/>
        </w:rPr>
        <w:t> </w:t>
      </w:r>
      <w:r>
        <w:rPr>
          <w:sz w:val="24"/>
        </w:rPr>
        <w:t>rose</w:t>
      </w:r>
      <w:r>
        <w:rPr>
          <w:spacing w:val="-2"/>
          <w:sz w:val="24"/>
        </w:rPr>
        <w:t> </w:t>
      </w:r>
      <w:r>
        <w:rPr>
          <w:sz w:val="24"/>
        </w:rPr>
        <w:t>6,900, mostly</w:t>
      </w:r>
      <w:r>
        <w:rPr>
          <w:spacing w:val="-1"/>
          <w:sz w:val="24"/>
        </w:rPr>
        <w:t> </w:t>
      </w:r>
      <w:r>
        <w:rPr>
          <w:sz w:val="24"/>
        </w:rPr>
        <w:t>in</w:t>
      </w:r>
      <w:r>
        <w:rPr>
          <w:spacing w:val="-1"/>
          <w:sz w:val="24"/>
        </w:rPr>
        <w:t> </w:t>
      </w:r>
      <w:r>
        <w:rPr>
          <w:sz w:val="24"/>
        </w:rPr>
        <w:t>Food Services (+5,500).</w:t>
      </w:r>
      <w:r>
        <w:rPr>
          <w:spacing w:val="40"/>
          <w:sz w:val="24"/>
        </w:rPr>
        <w:t> </w:t>
      </w:r>
      <w:r>
        <w:rPr>
          <w:sz w:val="24"/>
        </w:rPr>
        <w:t>Jobs in Construction</w:t>
      </w:r>
      <w:r>
        <w:rPr>
          <w:spacing w:val="-1"/>
          <w:sz w:val="24"/>
        </w:rPr>
        <w:t> </w:t>
      </w:r>
      <w:r>
        <w:rPr>
          <w:sz w:val="24"/>
        </w:rPr>
        <w:t>increased 1,900, a</w:t>
      </w:r>
      <w:r>
        <w:rPr>
          <w:spacing w:val="-2"/>
          <w:sz w:val="24"/>
        </w:rPr>
        <w:t> </w:t>
      </w:r>
      <w:r>
        <w:rPr>
          <w:sz w:val="24"/>
        </w:rPr>
        <w:t>typical season</w:t>
      </w:r>
      <w:r>
        <w:rPr>
          <w:spacing w:val="-13"/>
          <w:sz w:val="24"/>
        </w:rPr>
        <w:t> </w:t>
      </w:r>
      <w:r>
        <w:rPr>
          <w:sz w:val="24"/>
        </w:rPr>
        <w:t>expansion.</w:t>
      </w:r>
      <w:r>
        <w:rPr>
          <w:spacing w:val="29"/>
          <w:sz w:val="24"/>
        </w:rPr>
        <w:t> </w:t>
      </w:r>
      <w:r>
        <w:rPr>
          <w:sz w:val="24"/>
        </w:rPr>
        <w:t>Financial</w:t>
      </w:r>
      <w:r>
        <w:rPr>
          <w:spacing w:val="-13"/>
          <w:sz w:val="24"/>
        </w:rPr>
        <w:t> </w:t>
      </w:r>
      <w:r>
        <w:rPr>
          <w:sz w:val="24"/>
        </w:rPr>
        <w:t>Activities,</w:t>
      </w:r>
      <w:r>
        <w:rPr>
          <w:spacing w:val="-14"/>
          <w:sz w:val="24"/>
        </w:rPr>
        <w:t> </w:t>
      </w:r>
      <w:r>
        <w:rPr>
          <w:sz w:val="24"/>
        </w:rPr>
        <w:t>Professional</w:t>
      </w:r>
      <w:r>
        <w:rPr>
          <w:spacing w:val="-12"/>
          <w:sz w:val="24"/>
        </w:rPr>
        <w:t> </w:t>
      </w:r>
      <w:r>
        <w:rPr>
          <w:sz w:val="24"/>
        </w:rPr>
        <w:t>and</w:t>
      </w:r>
      <w:r>
        <w:rPr>
          <w:spacing w:val="-12"/>
          <w:sz w:val="24"/>
        </w:rPr>
        <w:t> </w:t>
      </w:r>
      <w:r>
        <w:rPr>
          <w:sz w:val="24"/>
        </w:rPr>
        <w:t>Business</w:t>
      </w:r>
      <w:r>
        <w:rPr>
          <w:spacing w:val="-13"/>
          <w:sz w:val="24"/>
        </w:rPr>
        <w:t> </w:t>
      </w:r>
      <w:r>
        <w:rPr>
          <w:sz w:val="24"/>
        </w:rPr>
        <w:t>Services,</w:t>
      </w:r>
      <w:r>
        <w:rPr>
          <w:spacing w:val="-14"/>
          <w:sz w:val="24"/>
        </w:rPr>
        <w:t> </w:t>
      </w:r>
      <w:r>
        <w:rPr>
          <w:sz w:val="24"/>
        </w:rPr>
        <w:t>and</w:t>
      </w:r>
      <w:r>
        <w:rPr>
          <w:spacing w:val="-11"/>
          <w:sz w:val="24"/>
        </w:rPr>
        <w:t> </w:t>
      </w:r>
      <w:r>
        <w:rPr>
          <w:sz w:val="24"/>
        </w:rPr>
        <w:t>Government</w:t>
      </w:r>
      <w:r>
        <w:rPr>
          <w:spacing w:val="-12"/>
          <w:sz w:val="24"/>
        </w:rPr>
        <w:t> </w:t>
      </w:r>
      <w:r>
        <w:rPr>
          <w:sz w:val="24"/>
        </w:rPr>
        <w:t>added</w:t>
      </w:r>
      <w:r>
        <w:rPr>
          <w:spacing w:val="-14"/>
          <w:sz w:val="24"/>
        </w:rPr>
        <w:t> </w:t>
      </w:r>
      <w:r>
        <w:rPr>
          <w:sz w:val="24"/>
        </w:rPr>
        <w:t>1,100 jobs each.</w:t>
      </w:r>
    </w:p>
    <w:p>
      <w:pPr>
        <w:pStyle w:val="ListParagraph"/>
        <w:numPr>
          <w:ilvl w:val="0"/>
          <w:numId w:val="1"/>
        </w:numPr>
        <w:tabs>
          <w:tab w:pos="840" w:val="left" w:leader="none"/>
        </w:tabs>
        <w:spacing w:line="259" w:lineRule="auto" w:before="104" w:after="0"/>
        <w:ind w:left="840" w:right="117" w:hanging="360"/>
        <w:jc w:val="both"/>
        <w:rPr>
          <w:sz w:val="24"/>
        </w:rPr>
      </w:pPr>
      <w:r>
        <w:rPr>
          <w:sz w:val="24"/>
        </w:rPr>
        <w:t>Compared to April 2022,</w:t>
      </w:r>
      <w:r>
        <w:rPr>
          <w:spacing w:val="-4"/>
          <w:sz w:val="24"/>
        </w:rPr>
        <w:t> </w:t>
      </w:r>
      <w:r>
        <w:rPr>
          <w:sz w:val="24"/>
        </w:rPr>
        <w:t>nonfarm</w:t>
      </w:r>
      <w:r>
        <w:rPr>
          <w:spacing w:val="-1"/>
          <w:sz w:val="24"/>
        </w:rPr>
        <w:t> </w:t>
      </w:r>
      <w:r>
        <w:rPr>
          <w:sz w:val="24"/>
        </w:rPr>
        <w:t>payroll</w:t>
      </w:r>
      <w:r>
        <w:rPr>
          <w:spacing w:val="-2"/>
          <w:sz w:val="24"/>
        </w:rPr>
        <w:t> </w:t>
      </w:r>
      <w:r>
        <w:rPr>
          <w:sz w:val="24"/>
        </w:rPr>
        <w:t>jobs</w:t>
      </w:r>
      <w:r>
        <w:rPr>
          <w:spacing w:val="-2"/>
          <w:sz w:val="24"/>
        </w:rPr>
        <w:t> </w:t>
      </w:r>
      <w:r>
        <w:rPr>
          <w:sz w:val="24"/>
        </w:rPr>
        <w:t>are</w:t>
      </w:r>
      <w:r>
        <w:rPr>
          <w:spacing w:val="-1"/>
          <w:sz w:val="24"/>
        </w:rPr>
        <w:t> </w:t>
      </w:r>
      <w:r>
        <w:rPr>
          <w:sz w:val="24"/>
        </w:rPr>
        <w:t>up 33,800.</w:t>
      </w:r>
      <w:r>
        <w:rPr>
          <w:spacing w:val="40"/>
          <w:sz w:val="24"/>
        </w:rPr>
        <w:t> </w:t>
      </w:r>
      <w:r>
        <w:rPr>
          <w:sz w:val="24"/>
        </w:rPr>
        <w:t>The largest increases</w:t>
      </w:r>
      <w:r>
        <w:rPr>
          <w:spacing w:val="-2"/>
          <w:sz w:val="24"/>
        </w:rPr>
        <w:t> </w:t>
      </w:r>
      <w:r>
        <w:rPr>
          <w:sz w:val="24"/>
        </w:rPr>
        <w:t>were</w:t>
      </w:r>
      <w:r>
        <w:rPr>
          <w:spacing w:val="-1"/>
          <w:sz w:val="24"/>
        </w:rPr>
        <w:t> </w:t>
      </w:r>
      <w:r>
        <w:rPr>
          <w:sz w:val="24"/>
        </w:rPr>
        <w:t>in Leisure</w:t>
      </w:r>
      <w:r>
        <w:rPr>
          <w:spacing w:val="-3"/>
          <w:sz w:val="24"/>
        </w:rPr>
        <w:t> </w:t>
      </w:r>
      <w:r>
        <w:rPr>
          <w:sz w:val="24"/>
        </w:rPr>
        <w:t>and Hospitality</w:t>
      </w:r>
      <w:r>
        <w:rPr>
          <w:spacing w:val="-6"/>
          <w:sz w:val="24"/>
        </w:rPr>
        <w:t> </w:t>
      </w:r>
      <w:r>
        <w:rPr>
          <w:sz w:val="24"/>
        </w:rPr>
        <w:t>(+9,100),</w:t>
      </w:r>
      <w:r>
        <w:rPr>
          <w:spacing w:val="-6"/>
          <w:sz w:val="24"/>
        </w:rPr>
        <w:t> </w:t>
      </w:r>
      <w:r>
        <w:rPr>
          <w:sz w:val="24"/>
        </w:rPr>
        <w:t>Trade,</w:t>
      </w:r>
      <w:r>
        <w:rPr>
          <w:spacing w:val="-6"/>
          <w:sz w:val="24"/>
        </w:rPr>
        <w:t> </w:t>
      </w:r>
      <w:r>
        <w:rPr>
          <w:sz w:val="24"/>
        </w:rPr>
        <w:t>Transportation,</w:t>
      </w:r>
      <w:r>
        <w:rPr>
          <w:spacing w:val="-6"/>
          <w:sz w:val="24"/>
        </w:rPr>
        <w:t> </w:t>
      </w:r>
      <w:r>
        <w:rPr>
          <w:sz w:val="24"/>
        </w:rPr>
        <w:t>and</w:t>
      </w:r>
      <w:r>
        <w:rPr>
          <w:spacing w:val="-6"/>
          <w:sz w:val="24"/>
        </w:rPr>
        <w:t> </w:t>
      </w:r>
      <w:r>
        <w:rPr>
          <w:sz w:val="24"/>
        </w:rPr>
        <w:t>Utilities</w:t>
      </w:r>
      <w:r>
        <w:rPr>
          <w:spacing w:val="-6"/>
          <w:sz w:val="24"/>
        </w:rPr>
        <w:t> </w:t>
      </w:r>
      <w:r>
        <w:rPr>
          <w:sz w:val="24"/>
        </w:rPr>
        <w:t>(+6,500),</w:t>
      </w:r>
      <w:r>
        <w:rPr>
          <w:spacing w:val="-6"/>
          <w:sz w:val="24"/>
        </w:rPr>
        <w:t> </w:t>
      </w:r>
      <w:r>
        <w:rPr>
          <w:sz w:val="24"/>
        </w:rPr>
        <w:t>Private</w:t>
      </w:r>
      <w:r>
        <w:rPr>
          <w:spacing w:val="-7"/>
          <w:sz w:val="24"/>
        </w:rPr>
        <w:t> </w:t>
      </w:r>
      <w:r>
        <w:rPr>
          <w:sz w:val="24"/>
        </w:rPr>
        <w:t>Education</w:t>
      </w:r>
      <w:r>
        <w:rPr>
          <w:spacing w:val="-6"/>
          <w:sz w:val="24"/>
        </w:rPr>
        <w:t> </w:t>
      </w:r>
      <w:r>
        <w:rPr>
          <w:sz w:val="24"/>
        </w:rPr>
        <w:t>and</w:t>
      </w:r>
      <w:r>
        <w:rPr>
          <w:spacing w:val="-5"/>
          <w:sz w:val="24"/>
        </w:rPr>
        <w:t> </w:t>
      </w:r>
      <w:r>
        <w:rPr>
          <w:sz w:val="24"/>
        </w:rPr>
        <w:t>Health</w:t>
      </w:r>
      <w:r>
        <w:rPr>
          <w:spacing w:val="-5"/>
          <w:sz w:val="24"/>
        </w:rPr>
        <w:t> </w:t>
      </w:r>
      <w:r>
        <w:rPr>
          <w:sz w:val="24"/>
        </w:rPr>
        <w:t>Services (+5,700), Construction (+5,300), and Manufacturing (+2,300).</w:t>
      </w:r>
    </w:p>
    <w:p>
      <w:pPr>
        <w:pStyle w:val="Heading1"/>
        <w:spacing w:before="78"/>
        <w:ind w:left="2966"/>
        <w:jc w:val="both"/>
      </w:pPr>
      <w:r>
        <w:rPr/>
        <w:t>Arkansas</w:t>
      </w:r>
      <w:r>
        <w:rPr>
          <w:spacing w:val="-1"/>
        </w:rPr>
        <w:t> </w:t>
      </w:r>
      <w:r>
        <w:rPr/>
        <w:t>Civilian</w:t>
      </w:r>
      <w:r>
        <w:rPr>
          <w:spacing w:val="-1"/>
        </w:rPr>
        <w:t> </w:t>
      </w:r>
      <w:r>
        <w:rPr/>
        <w:t>Labor</w:t>
      </w:r>
      <w:r>
        <w:rPr>
          <w:spacing w:val="-5"/>
        </w:rPr>
        <w:t> </w:t>
      </w:r>
      <w:r>
        <w:rPr/>
        <w:t>Force</w:t>
      </w:r>
      <w:r>
        <w:rPr>
          <w:spacing w:val="-2"/>
        </w:rPr>
        <w:t> </w:t>
      </w:r>
      <w:r>
        <w:rPr/>
        <w:t>(Seasonally</w:t>
      </w:r>
      <w:r>
        <w:rPr>
          <w:spacing w:val="-1"/>
        </w:rPr>
        <w:t> </w:t>
      </w:r>
      <w:r>
        <w:rPr>
          <w:spacing w:val="-2"/>
        </w:rPr>
        <w:t>Adjusted)</w:t>
      </w:r>
    </w:p>
    <w:p>
      <w:pPr>
        <w:pStyle w:val="BodyText"/>
        <w:spacing w:before="5"/>
        <w:rPr>
          <w:b/>
          <w:sz w:val="10"/>
        </w:rPr>
      </w:pPr>
    </w:p>
    <w:tbl>
      <w:tblPr>
        <w:tblW w:w="0" w:type="auto"/>
        <w:jc w:val="left"/>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260"/>
        <w:gridCol w:w="1236"/>
        <w:gridCol w:w="1157"/>
        <w:gridCol w:w="1659"/>
        <w:gridCol w:w="1441"/>
      </w:tblGrid>
      <w:tr>
        <w:trPr>
          <w:trHeight w:val="542" w:hRule="atLeast"/>
        </w:trPr>
        <w:tc>
          <w:tcPr>
            <w:tcW w:w="3595" w:type="dxa"/>
            <w:shd w:val="clear" w:color="auto" w:fill="D9E0F1"/>
          </w:tcPr>
          <w:p>
            <w:pPr>
              <w:pStyle w:val="TableParagraph"/>
              <w:spacing w:line="240" w:lineRule="auto" w:before="0"/>
              <w:ind w:right="0"/>
              <w:jc w:val="left"/>
              <w:rPr>
                <w:rFonts w:ascii="Times New Roman"/>
                <w:sz w:val="22"/>
              </w:rPr>
            </w:pPr>
          </w:p>
        </w:tc>
        <w:tc>
          <w:tcPr>
            <w:tcW w:w="1260" w:type="dxa"/>
            <w:shd w:val="clear" w:color="auto" w:fill="D9E0F1"/>
          </w:tcPr>
          <w:p>
            <w:pPr>
              <w:pStyle w:val="TableParagraph"/>
              <w:spacing w:line="270" w:lineRule="atLeast" w:before="0"/>
              <w:ind w:left="705" w:right="88" w:firstLine="26"/>
              <w:jc w:val="left"/>
              <w:rPr>
                <w:sz w:val="22"/>
              </w:rPr>
            </w:pPr>
            <w:r>
              <w:rPr>
                <w:spacing w:val="-2"/>
                <w:sz w:val="22"/>
              </w:rPr>
              <w:t>April </w:t>
            </w:r>
            <w:r>
              <w:rPr>
                <w:spacing w:val="-4"/>
                <w:sz w:val="22"/>
              </w:rPr>
              <w:t>2023</w:t>
            </w:r>
          </w:p>
        </w:tc>
        <w:tc>
          <w:tcPr>
            <w:tcW w:w="1236" w:type="dxa"/>
            <w:shd w:val="clear" w:color="auto" w:fill="D9E0F1"/>
          </w:tcPr>
          <w:p>
            <w:pPr>
              <w:pStyle w:val="TableParagraph"/>
              <w:spacing w:line="270" w:lineRule="atLeast" w:before="0"/>
              <w:ind w:left="681" w:right="0" w:hanging="135"/>
              <w:jc w:val="left"/>
              <w:rPr>
                <w:sz w:val="22"/>
              </w:rPr>
            </w:pPr>
            <w:r>
              <w:rPr>
                <w:spacing w:val="-4"/>
                <w:sz w:val="22"/>
              </w:rPr>
              <w:t>March 2023</w:t>
            </w:r>
          </w:p>
        </w:tc>
        <w:tc>
          <w:tcPr>
            <w:tcW w:w="1157" w:type="dxa"/>
            <w:shd w:val="clear" w:color="auto" w:fill="D9E0F1"/>
          </w:tcPr>
          <w:p>
            <w:pPr>
              <w:pStyle w:val="TableParagraph"/>
              <w:spacing w:line="270" w:lineRule="atLeast" w:before="0"/>
              <w:ind w:left="600" w:right="90" w:firstLine="26"/>
              <w:jc w:val="left"/>
              <w:rPr>
                <w:sz w:val="22"/>
              </w:rPr>
            </w:pPr>
            <w:r>
              <w:rPr>
                <w:spacing w:val="-2"/>
                <w:sz w:val="22"/>
              </w:rPr>
              <w:t>April </w:t>
            </w:r>
            <w:r>
              <w:rPr>
                <w:spacing w:val="-4"/>
                <w:sz w:val="22"/>
              </w:rPr>
              <w:t>2022</w:t>
            </w:r>
          </w:p>
        </w:tc>
        <w:tc>
          <w:tcPr>
            <w:tcW w:w="1659" w:type="dxa"/>
            <w:shd w:val="clear" w:color="auto" w:fill="D9E0F1"/>
          </w:tcPr>
          <w:p>
            <w:pPr>
              <w:pStyle w:val="TableParagraph"/>
              <w:spacing w:line="270" w:lineRule="atLeast" w:before="0"/>
              <w:ind w:left="472" w:right="0" w:hanging="80"/>
              <w:jc w:val="left"/>
              <w:rPr>
                <w:sz w:val="22"/>
              </w:rPr>
            </w:pPr>
            <w:r>
              <w:rPr>
                <w:sz w:val="22"/>
              </w:rPr>
              <w:t>Change</w:t>
            </w:r>
            <w:r>
              <w:rPr>
                <w:spacing w:val="-13"/>
                <w:sz w:val="22"/>
              </w:rPr>
              <w:t> </w:t>
            </w:r>
            <w:r>
              <w:rPr>
                <w:sz w:val="22"/>
              </w:rPr>
              <w:t>from March</w:t>
            </w:r>
            <w:r>
              <w:rPr>
                <w:spacing w:val="-7"/>
                <w:sz w:val="22"/>
              </w:rPr>
              <w:t> </w:t>
            </w:r>
            <w:r>
              <w:rPr>
                <w:spacing w:val="-4"/>
                <w:sz w:val="22"/>
              </w:rPr>
              <w:t>2023</w:t>
            </w:r>
          </w:p>
        </w:tc>
        <w:tc>
          <w:tcPr>
            <w:tcW w:w="1441" w:type="dxa"/>
            <w:shd w:val="clear" w:color="auto" w:fill="D9E0F1"/>
          </w:tcPr>
          <w:p>
            <w:pPr>
              <w:pStyle w:val="TableParagraph"/>
              <w:spacing w:line="270" w:lineRule="atLeast" w:before="0"/>
              <w:ind w:left="412" w:right="0" w:hanging="238"/>
              <w:jc w:val="left"/>
              <w:rPr>
                <w:sz w:val="22"/>
              </w:rPr>
            </w:pPr>
            <w:r>
              <w:rPr>
                <w:sz w:val="22"/>
              </w:rPr>
              <w:t>Change</w:t>
            </w:r>
            <w:r>
              <w:rPr>
                <w:spacing w:val="-13"/>
                <w:sz w:val="22"/>
              </w:rPr>
              <w:t> </w:t>
            </w:r>
            <w:r>
              <w:rPr>
                <w:sz w:val="22"/>
              </w:rPr>
              <w:t>from April</w:t>
            </w:r>
            <w:r>
              <w:rPr>
                <w:spacing w:val="-6"/>
                <w:sz w:val="22"/>
              </w:rPr>
              <w:t> </w:t>
            </w:r>
            <w:r>
              <w:rPr>
                <w:spacing w:val="-4"/>
                <w:sz w:val="22"/>
              </w:rPr>
              <w:t>2022</w:t>
            </w:r>
          </w:p>
        </w:tc>
      </w:tr>
      <w:tr>
        <w:trPr>
          <w:trHeight w:val="268" w:hRule="atLeast"/>
        </w:trPr>
        <w:tc>
          <w:tcPr>
            <w:tcW w:w="3595" w:type="dxa"/>
            <w:tcBorders>
              <w:bottom w:val="single" w:sz="4" w:space="0" w:color="8EA9DB"/>
            </w:tcBorders>
          </w:tcPr>
          <w:p>
            <w:pPr>
              <w:pStyle w:val="TableParagraph"/>
              <w:spacing w:line="248" w:lineRule="exact" w:before="0"/>
              <w:ind w:left="107" w:right="0"/>
              <w:jc w:val="left"/>
              <w:rPr>
                <w:sz w:val="22"/>
              </w:rPr>
            </w:pPr>
            <w:r>
              <w:rPr>
                <w:sz w:val="22"/>
              </w:rPr>
              <w:t>Civilian</w:t>
            </w:r>
            <w:r>
              <w:rPr>
                <w:spacing w:val="-8"/>
                <w:sz w:val="22"/>
              </w:rPr>
              <w:t> </w:t>
            </w:r>
            <w:r>
              <w:rPr>
                <w:sz w:val="22"/>
              </w:rPr>
              <w:t>Labor</w:t>
            </w:r>
            <w:r>
              <w:rPr>
                <w:spacing w:val="-5"/>
                <w:sz w:val="22"/>
              </w:rPr>
              <w:t> </w:t>
            </w:r>
            <w:r>
              <w:rPr>
                <w:spacing w:val="-4"/>
                <w:sz w:val="22"/>
              </w:rPr>
              <w:t>Force</w:t>
            </w:r>
          </w:p>
        </w:tc>
        <w:tc>
          <w:tcPr>
            <w:tcW w:w="1260" w:type="dxa"/>
            <w:tcBorders>
              <w:bottom w:val="single" w:sz="4" w:space="0" w:color="8EA9DB"/>
            </w:tcBorders>
          </w:tcPr>
          <w:p>
            <w:pPr>
              <w:pStyle w:val="TableParagraph"/>
              <w:spacing w:line="248" w:lineRule="exact" w:before="0"/>
              <w:ind w:right="146"/>
              <w:rPr>
                <w:sz w:val="22"/>
              </w:rPr>
            </w:pPr>
            <w:r>
              <w:rPr>
                <w:spacing w:val="-2"/>
                <w:sz w:val="22"/>
              </w:rPr>
              <w:t>1,378,367</w:t>
            </w:r>
          </w:p>
        </w:tc>
        <w:tc>
          <w:tcPr>
            <w:tcW w:w="1236" w:type="dxa"/>
            <w:tcBorders>
              <w:bottom w:val="single" w:sz="4" w:space="0" w:color="8EA9DB"/>
            </w:tcBorders>
          </w:tcPr>
          <w:p>
            <w:pPr>
              <w:pStyle w:val="TableParagraph"/>
              <w:spacing w:line="248" w:lineRule="exact" w:before="0"/>
              <w:ind w:right="146"/>
              <w:rPr>
                <w:sz w:val="22"/>
              </w:rPr>
            </w:pPr>
            <w:r>
              <w:rPr>
                <w:spacing w:val="-2"/>
                <w:sz w:val="22"/>
              </w:rPr>
              <w:t>1,375,422</w:t>
            </w:r>
          </w:p>
        </w:tc>
        <w:tc>
          <w:tcPr>
            <w:tcW w:w="1157" w:type="dxa"/>
            <w:tcBorders>
              <w:bottom w:val="single" w:sz="4" w:space="0" w:color="8EA9DB"/>
            </w:tcBorders>
          </w:tcPr>
          <w:p>
            <w:pPr>
              <w:pStyle w:val="TableParagraph"/>
              <w:spacing w:line="248" w:lineRule="exact" w:before="0"/>
              <w:ind w:left="105" w:right="0"/>
              <w:jc w:val="left"/>
              <w:rPr>
                <w:sz w:val="22"/>
              </w:rPr>
            </w:pPr>
            <w:r>
              <w:rPr>
                <w:spacing w:val="-2"/>
                <w:sz w:val="22"/>
              </w:rPr>
              <w:t>1,369,620</w:t>
            </w:r>
          </w:p>
        </w:tc>
        <w:tc>
          <w:tcPr>
            <w:tcW w:w="1659" w:type="dxa"/>
            <w:tcBorders>
              <w:bottom w:val="single" w:sz="4" w:space="0" w:color="8EA9DB"/>
            </w:tcBorders>
          </w:tcPr>
          <w:p>
            <w:pPr>
              <w:pStyle w:val="TableParagraph"/>
              <w:spacing w:line="248" w:lineRule="exact" w:before="0"/>
              <w:ind w:right="97"/>
              <w:rPr>
                <w:sz w:val="22"/>
              </w:rPr>
            </w:pPr>
            <w:r>
              <w:rPr>
                <w:spacing w:val="-2"/>
                <w:sz w:val="22"/>
              </w:rPr>
              <w:t>2,945</w:t>
            </w:r>
          </w:p>
        </w:tc>
        <w:tc>
          <w:tcPr>
            <w:tcW w:w="1441" w:type="dxa"/>
            <w:tcBorders>
              <w:bottom w:val="single" w:sz="4" w:space="0" w:color="8EA9DB"/>
            </w:tcBorders>
          </w:tcPr>
          <w:p>
            <w:pPr>
              <w:pStyle w:val="TableParagraph"/>
              <w:spacing w:line="248" w:lineRule="exact" w:before="0"/>
              <w:ind w:right="98"/>
              <w:rPr>
                <w:sz w:val="22"/>
              </w:rPr>
            </w:pPr>
            <w:r>
              <w:rPr>
                <w:spacing w:val="-2"/>
                <w:sz w:val="22"/>
              </w:rPr>
              <w:t>8,747</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spacing w:line="248" w:lineRule="exact" w:before="0"/>
              <w:ind w:left="309" w:right="0"/>
              <w:jc w:val="left"/>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spacing w:line="248" w:lineRule="exact" w:before="0"/>
              <w:ind w:right="146"/>
              <w:rPr>
                <w:sz w:val="22"/>
              </w:rPr>
            </w:pPr>
            <w:r>
              <w:rPr>
                <w:spacing w:val="-2"/>
                <w:sz w:val="22"/>
              </w:rPr>
              <w:t>1,339,385</w:t>
            </w:r>
          </w:p>
        </w:tc>
        <w:tc>
          <w:tcPr>
            <w:tcW w:w="1236" w:type="dxa"/>
            <w:tcBorders>
              <w:top w:val="single" w:sz="4" w:space="0" w:color="8EA9DB"/>
              <w:bottom w:val="single" w:sz="4" w:space="0" w:color="8EA9DB"/>
            </w:tcBorders>
            <w:shd w:val="clear" w:color="auto" w:fill="D9E0F1"/>
          </w:tcPr>
          <w:p>
            <w:pPr>
              <w:pStyle w:val="TableParagraph"/>
              <w:spacing w:line="248" w:lineRule="exact" w:before="0"/>
              <w:ind w:right="146"/>
              <w:rPr>
                <w:sz w:val="22"/>
              </w:rPr>
            </w:pPr>
            <w:r>
              <w:rPr>
                <w:spacing w:val="-2"/>
                <w:sz w:val="22"/>
              </w:rPr>
              <w:t>1,334,554</w:t>
            </w:r>
          </w:p>
        </w:tc>
        <w:tc>
          <w:tcPr>
            <w:tcW w:w="1157" w:type="dxa"/>
            <w:tcBorders>
              <w:top w:val="single" w:sz="4" w:space="0" w:color="8EA9DB"/>
              <w:bottom w:val="single" w:sz="4" w:space="0" w:color="8EA9DB"/>
            </w:tcBorders>
            <w:shd w:val="clear" w:color="auto" w:fill="D9E0F1"/>
          </w:tcPr>
          <w:p>
            <w:pPr>
              <w:pStyle w:val="TableParagraph"/>
              <w:spacing w:line="248" w:lineRule="exact" w:before="0"/>
              <w:ind w:left="105" w:right="0"/>
              <w:jc w:val="left"/>
              <w:rPr>
                <w:sz w:val="22"/>
              </w:rPr>
            </w:pPr>
            <w:r>
              <w:rPr>
                <w:spacing w:val="-2"/>
                <w:sz w:val="22"/>
              </w:rPr>
              <w:t>1,326,516</w:t>
            </w:r>
          </w:p>
        </w:tc>
        <w:tc>
          <w:tcPr>
            <w:tcW w:w="1659" w:type="dxa"/>
            <w:tcBorders>
              <w:top w:val="single" w:sz="4" w:space="0" w:color="8EA9DB"/>
              <w:bottom w:val="single" w:sz="4" w:space="0" w:color="8EA9DB"/>
            </w:tcBorders>
            <w:shd w:val="clear" w:color="auto" w:fill="D9E0F1"/>
          </w:tcPr>
          <w:p>
            <w:pPr>
              <w:pStyle w:val="TableParagraph"/>
              <w:spacing w:line="248" w:lineRule="exact" w:before="0"/>
              <w:ind w:right="97"/>
              <w:rPr>
                <w:sz w:val="22"/>
              </w:rPr>
            </w:pPr>
            <w:r>
              <w:rPr>
                <w:spacing w:val="-2"/>
                <w:sz w:val="22"/>
              </w:rPr>
              <w:t>4,831</w:t>
            </w:r>
          </w:p>
        </w:tc>
        <w:tc>
          <w:tcPr>
            <w:tcW w:w="1441" w:type="dxa"/>
            <w:tcBorders>
              <w:top w:val="single" w:sz="4" w:space="0" w:color="8EA9DB"/>
              <w:bottom w:val="single" w:sz="4" w:space="0" w:color="8EA9DB"/>
            </w:tcBorders>
            <w:shd w:val="clear" w:color="auto" w:fill="D9E0F1"/>
          </w:tcPr>
          <w:p>
            <w:pPr>
              <w:pStyle w:val="TableParagraph"/>
              <w:spacing w:line="248" w:lineRule="exact" w:before="0"/>
              <w:ind w:right="100"/>
              <w:rPr>
                <w:sz w:val="22"/>
              </w:rPr>
            </w:pPr>
            <w:r>
              <w:rPr>
                <w:spacing w:val="-2"/>
                <w:sz w:val="22"/>
              </w:rPr>
              <w:t>12,869</w:t>
            </w:r>
          </w:p>
        </w:tc>
      </w:tr>
      <w:tr>
        <w:trPr>
          <w:trHeight w:val="268" w:hRule="atLeast"/>
        </w:trPr>
        <w:tc>
          <w:tcPr>
            <w:tcW w:w="3595" w:type="dxa"/>
            <w:tcBorders>
              <w:top w:val="single" w:sz="4" w:space="0" w:color="8EA9DB"/>
              <w:bottom w:val="single" w:sz="4" w:space="0" w:color="8EA9DB"/>
            </w:tcBorders>
          </w:tcPr>
          <w:p>
            <w:pPr>
              <w:pStyle w:val="TableParagraph"/>
              <w:spacing w:line="248" w:lineRule="exact" w:before="0"/>
              <w:ind w:left="309" w:right="0"/>
              <w:jc w:val="left"/>
              <w:rPr>
                <w:sz w:val="22"/>
              </w:rPr>
            </w:pPr>
            <w:r>
              <w:rPr>
                <w:spacing w:val="-2"/>
                <w:sz w:val="22"/>
              </w:rPr>
              <w:t>Unemployment</w:t>
            </w:r>
          </w:p>
        </w:tc>
        <w:tc>
          <w:tcPr>
            <w:tcW w:w="1260" w:type="dxa"/>
            <w:tcBorders>
              <w:top w:val="single" w:sz="4" w:space="0" w:color="8EA9DB"/>
              <w:bottom w:val="single" w:sz="4" w:space="0" w:color="8EA9DB"/>
            </w:tcBorders>
          </w:tcPr>
          <w:p>
            <w:pPr>
              <w:pStyle w:val="TableParagraph"/>
              <w:spacing w:line="248" w:lineRule="exact" w:before="0"/>
              <w:ind w:right="146"/>
              <w:rPr>
                <w:sz w:val="22"/>
              </w:rPr>
            </w:pPr>
            <w:r>
              <w:rPr>
                <w:spacing w:val="-2"/>
                <w:sz w:val="22"/>
              </w:rPr>
              <w:t>38,982</w:t>
            </w:r>
          </w:p>
        </w:tc>
        <w:tc>
          <w:tcPr>
            <w:tcW w:w="1236" w:type="dxa"/>
            <w:tcBorders>
              <w:top w:val="single" w:sz="4" w:space="0" w:color="8EA9DB"/>
              <w:bottom w:val="single" w:sz="4" w:space="0" w:color="8EA9DB"/>
            </w:tcBorders>
          </w:tcPr>
          <w:p>
            <w:pPr>
              <w:pStyle w:val="TableParagraph"/>
              <w:spacing w:line="248" w:lineRule="exact" w:before="0"/>
              <w:ind w:right="146"/>
              <w:rPr>
                <w:sz w:val="22"/>
              </w:rPr>
            </w:pPr>
            <w:r>
              <w:rPr>
                <w:spacing w:val="-2"/>
                <w:sz w:val="22"/>
              </w:rPr>
              <w:t>40,868</w:t>
            </w:r>
          </w:p>
        </w:tc>
        <w:tc>
          <w:tcPr>
            <w:tcW w:w="1157" w:type="dxa"/>
            <w:tcBorders>
              <w:top w:val="single" w:sz="4" w:space="0" w:color="8EA9DB"/>
              <w:bottom w:val="single" w:sz="4" w:space="0" w:color="8EA9DB"/>
            </w:tcBorders>
          </w:tcPr>
          <w:p>
            <w:pPr>
              <w:pStyle w:val="TableParagraph"/>
              <w:spacing w:line="248" w:lineRule="exact" w:before="0"/>
              <w:ind w:right="97"/>
              <w:rPr>
                <w:sz w:val="22"/>
              </w:rPr>
            </w:pPr>
            <w:r>
              <w:rPr>
                <w:spacing w:val="-2"/>
                <w:sz w:val="22"/>
              </w:rPr>
              <w:t>43,104</w:t>
            </w:r>
          </w:p>
        </w:tc>
        <w:tc>
          <w:tcPr>
            <w:tcW w:w="1659" w:type="dxa"/>
            <w:tcBorders>
              <w:top w:val="single" w:sz="4" w:space="0" w:color="8EA9DB"/>
              <w:bottom w:val="single" w:sz="4" w:space="0" w:color="8EA9DB"/>
            </w:tcBorders>
          </w:tcPr>
          <w:p>
            <w:pPr>
              <w:pStyle w:val="TableParagraph"/>
              <w:spacing w:line="248" w:lineRule="exact" w:before="0"/>
              <w:ind w:right="97"/>
              <w:rPr>
                <w:sz w:val="22"/>
              </w:rPr>
            </w:pPr>
            <w:r>
              <w:rPr>
                <w:spacing w:val="-2"/>
                <w:sz w:val="22"/>
              </w:rPr>
              <w:t>-</w:t>
            </w:r>
            <w:r>
              <w:rPr>
                <w:spacing w:val="-4"/>
                <w:sz w:val="22"/>
              </w:rPr>
              <w:t>1,886</w:t>
            </w:r>
          </w:p>
        </w:tc>
        <w:tc>
          <w:tcPr>
            <w:tcW w:w="1441" w:type="dxa"/>
            <w:tcBorders>
              <w:top w:val="single" w:sz="4" w:space="0" w:color="8EA9DB"/>
              <w:bottom w:val="single" w:sz="4" w:space="0" w:color="8EA9DB"/>
            </w:tcBorders>
          </w:tcPr>
          <w:p>
            <w:pPr>
              <w:pStyle w:val="TableParagraph"/>
              <w:spacing w:line="248" w:lineRule="exact" w:before="0"/>
              <w:ind w:right="98"/>
              <w:rPr>
                <w:sz w:val="22"/>
              </w:rPr>
            </w:pPr>
            <w:r>
              <w:rPr>
                <w:spacing w:val="-2"/>
                <w:sz w:val="22"/>
              </w:rPr>
              <w:t>-</w:t>
            </w:r>
            <w:r>
              <w:rPr>
                <w:spacing w:val="-4"/>
                <w:sz w:val="22"/>
              </w:rPr>
              <w:t>4,122</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spacing w:line="248" w:lineRule="exact" w:before="0"/>
              <w:ind w:left="508" w:right="0"/>
              <w:jc w:val="left"/>
              <w:rPr>
                <w:sz w:val="22"/>
              </w:rPr>
            </w:pPr>
            <w:r>
              <w:rPr>
                <w:sz w:val="22"/>
              </w:rPr>
              <w:t>Unemployment</w:t>
            </w:r>
            <w:r>
              <w:rPr>
                <w:spacing w:val="-13"/>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spacing w:line="248" w:lineRule="exact" w:before="0"/>
              <w:ind w:right="94"/>
              <w:rPr>
                <w:sz w:val="22"/>
              </w:rPr>
            </w:pPr>
            <w:r>
              <w:rPr>
                <w:spacing w:val="-4"/>
                <w:sz w:val="22"/>
              </w:rPr>
              <w:t>2.8%</w:t>
            </w:r>
          </w:p>
        </w:tc>
        <w:tc>
          <w:tcPr>
            <w:tcW w:w="1236" w:type="dxa"/>
            <w:tcBorders>
              <w:top w:val="single" w:sz="4" w:space="0" w:color="8EA9DB"/>
              <w:bottom w:val="single" w:sz="4" w:space="0" w:color="8EA9DB"/>
            </w:tcBorders>
            <w:shd w:val="clear" w:color="auto" w:fill="D9E0F1"/>
          </w:tcPr>
          <w:p>
            <w:pPr>
              <w:pStyle w:val="TableParagraph"/>
              <w:spacing w:line="248" w:lineRule="exact" w:before="0"/>
              <w:ind w:right="94"/>
              <w:rPr>
                <w:sz w:val="22"/>
              </w:rPr>
            </w:pPr>
            <w:r>
              <w:rPr>
                <w:sz w:val="22"/>
              </w:rPr>
              <w:t>3.0</w:t>
            </w:r>
            <w:r>
              <w:rPr>
                <w:spacing w:val="-2"/>
                <w:sz w:val="22"/>
              </w:rPr>
              <w:t> </w:t>
            </w:r>
            <w:r>
              <w:rPr>
                <w:spacing w:val="-10"/>
                <w:sz w:val="22"/>
              </w:rPr>
              <w:t>%</w:t>
            </w:r>
          </w:p>
        </w:tc>
        <w:tc>
          <w:tcPr>
            <w:tcW w:w="1157" w:type="dxa"/>
            <w:tcBorders>
              <w:top w:val="single" w:sz="4" w:space="0" w:color="8EA9DB"/>
              <w:bottom w:val="single" w:sz="4" w:space="0" w:color="8EA9DB"/>
            </w:tcBorders>
            <w:shd w:val="clear" w:color="auto" w:fill="D9E0F1"/>
          </w:tcPr>
          <w:p>
            <w:pPr>
              <w:pStyle w:val="TableParagraph"/>
              <w:spacing w:line="248" w:lineRule="exact" w:before="0"/>
              <w:ind w:right="96"/>
              <w:rPr>
                <w:sz w:val="22"/>
              </w:rPr>
            </w:pPr>
            <w:r>
              <w:rPr>
                <w:spacing w:val="-4"/>
                <w:sz w:val="22"/>
              </w:rPr>
              <w:t>3.1%</w:t>
            </w:r>
          </w:p>
        </w:tc>
        <w:tc>
          <w:tcPr>
            <w:tcW w:w="1659" w:type="dxa"/>
            <w:tcBorders>
              <w:top w:val="single" w:sz="4" w:space="0" w:color="8EA9DB"/>
              <w:bottom w:val="single" w:sz="4" w:space="0" w:color="8EA9DB"/>
            </w:tcBorders>
            <w:shd w:val="clear" w:color="auto" w:fill="D9E0F1"/>
          </w:tcPr>
          <w:p>
            <w:pPr>
              <w:pStyle w:val="TableParagraph"/>
              <w:spacing w:line="248" w:lineRule="exact" w:before="0"/>
              <w:ind w:right="145"/>
              <w:rPr>
                <w:sz w:val="22"/>
              </w:rPr>
            </w:pPr>
            <w:r>
              <w:rPr>
                <w:spacing w:val="-2"/>
                <w:sz w:val="22"/>
              </w:rPr>
              <w:t>-</w:t>
            </w:r>
            <w:r>
              <w:rPr>
                <w:spacing w:val="-4"/>
                <w:sz w:val="22"/>
              </w:rPr>
              <w:t>0.2%</w:t>
            </w:r>
          </w:p>
        </w:tc>
        <w:tc>
          <w:tcPr>
            <w:tcW w:w="1441" w:type="dxa"/>
            <w:tcBorders>
              <w:top w:val="single" w:sz="4" w:space="0" w:color="8EA9DB"/>
              <w:bottom w:val="single" w:sz="4" w:space="0" w:color="8EA9DB"/>
            </w:tcBorders>
            <w:shd w:val="clear" w:color="auto" w:fill="D9E0F1"/>
          </w:tcPr>
          <w:p>
            <w:pPr>
              <w:pStyle w:val="TableParagraph"/>
              <w:spacing w:line="248" w:lineRule="exact" w:before="0"/>
              <w:ind w:right="98"/>
              <w:rPr>
                <w:sz w:val="22"/>
              </w:rPr>
            </w:pPr>
            <w:r>
              <w:rPr>
                <w:spacing w:val="-2"/>
                <w:sz w:val="22"/>
              </w:rPr>
              <w:t>-</w:t>
            </w:r>
            <w:r>
              <w:rPr>
                <w:spacing w:val="-4"/>
                <w:sz w:val="22"/>
              </w:rPr>
              <w:t>0.3%</w:t>
            </w:r>
          </w:p>
        </w:tc>
      </w:tr>
      <w:tr>
        <w:trPr>
          <w:trHeight w:val="268" w:hRule="atLeast"/>
        </w:trPr>
        <w:tc>
          <w:tcPr>
            <w:tcW w:w="3595" w:type="dxa"/>
            <w:tcBorders>
              <w:top w:val="single" w:sz="4" w:space="0" w:color="8EA9DB"/>
            </w:tcBorders>
          </w:tcPr>
          <w:p>
            <w:pPr>
              <w:pStyle w:val="TableParagraph"/>
              <w:spacing w:line="248" w:lineRule="exact" w:before="0"/>
              <w:ind w:left="506" w:right="0"/>
              <w:jc w:val="left"/>
              <w:rPr>
                <w:sz w:val="22"/>
              </w:rPr>
            </w:pPr>
            <w:r>
              <w:rPr>
                <w:sz w:val="22"/>
              </w:rPr>
              <w:t>Labor</w:t>
            </w:r>
            <w:r>
              <w:rPr>
                <w:spacing w:val="-6"/>
                <w:sz w:val="22"/>
              </w:rPr>
              <w:t> </w:t>
            </w:r>
            <w:r>
              <w:rPr>
                <w:sz w:val="22"/>
              </w:rPr>
              <w:t>Force</w:t>
            </w:r>
            <w:r>
              <w:rPr>
                <w:spacing w:val="-6"/>
                <w:sz w:val="22"/>
              </w:rPr>
              <w:t> </w:t>
            </w:r>
            <w:r>
              <w:rPr>
                <w:sz w:val="22"/>
              </w:rPr>
              <w:t>Participation</w:t>
            </w:r>
            <w:r>
              <w:rPr>
                <w:spacing w:val="-5"/>
                <w:sz w:val="22"/>
              </w:rPr>
              <w:t> </w:t>
            </w:r>
            <w:r>
              <w:rPr>
                <w:spacing w:val="-4"/>
                <w:sz w:val="22"/>
              </w:rPr>
              <w:t>Rate</w:t>
            </w:r>
          </w:p>
        </w:tc>
        <w:tc>
          <w:tcPr>
            <w:tcW w:w="1260" w:type="dxa"/>
            <w:tcBorders>
              <w:top w:val="single" w:sz="4" w:space="0" w:color="8EA9DB"/>
            </w:tcBorders>
          </w:tcPr>
          <w:p>
            <w:pPr>
              <w:pStyle w:val="TableParagraph"/>
              <w:spacing w:line="248" w:lineRule="exact" w:before="0"/>
              <w:ind w:right="94"/>
              <w:rPr>
                <w:sz w:val="22"/>
              </w:rPr>
            </w:pPr>
            <w:r>
              <w:rPr>
                <w:spacing w:val="-2"/>
                <w:sz w:val="22"/>
              </w:rPr>
              <w:t>57.5%</w:t>
            </w:r>
          </w:p>
        </w:tc>
        <w:tc>
          <w:tcPr>
            <w:tcW w:w="1236" w:type="dxa"/>
            <w:tcBorders>
              <w:top w:val="single" w:sz="4" w:space="0" w:color="8EA9DB"/>
            </w:tcBorders>
          </w:tcPr>
          <w:p>
            <w:pPr>
              <w:pStyle w:val="TableParagraph"/>
              <w:spacing w:line="248" w:lineRule="exact" w:before="0"/>
              <w:ind w:right="94"/>
              <w:rPr>
                <w:sz w:val="22"/>
              </w:rPr>
            </w:pPr>
            <w:r>
              <w:rPr>
                <w:sz w:val="22"/>
              </w:rPr>
              <w:t>57.4</w:t>
            </w:r>
            <w:r>
              <w:rPr>
                <w:spacing w:val="-5"/>
                <w:sz w:val="22"/>
              </w:rPr>
              <w:t> </w:t>
            </w:r>
            <w:r>
              <w:rPr>
                <w:spacing w:val="-12"/>
                <w:sz w:val="22"/>
              </w:rPr>
              <w:t>%</w:t>
            </w:r>
          </w:p>
        </w:tc>
        <w:tc>
          <w:tcPr>
            <w:tcW w:w="1157" w:type="dxa"/>
            <w:tcBorders>
              <w:top w:val="single" w:sz="4" w:space="0" w:color="8EA9DB"/>
            </w:tcBorders>
          </w:tcPr>
          <w:p>
            <w:pPr>
              <w:pStyle w:val="TableParagraph"/>
              <w:spacing w:line="248" w:lineRule="exact" w:before="0"/>
              <w:ind w:right="96"/>
              <w:rPr>
                <w:sz w:val="22"/>
              </w:rPr>
            </w:pPr>
            <w:r>
              <w:rPr>
                <w:spacing w:val="-2"/>
                <w:sz w:val="22"/>
              </w:rPr>
              <w:t>57.7%</w:t>
            </w:r>
          </w:p>
        </w:tc>
        <w:tc>
          <w:tcPr>
            <w:tcW w:w="1659" w:type="dxa"/>
            <w:tcBorders>
              <w:top w:val="single" w:sz="4" w:space="0" w:color="8EA9DB"/>
            </w:tcBorders>
          </w:tcPr>
          <w:p>
            <w:pPr>
              <w:pStyle w:val="TableParagraph"/>
              <w:spacing w:line="248" w:lineRule="exact" w:before="0"/>
              <w:ind w:right="145"/>
              <w:rPr>
                <w:sz w:val="22"/>
              </w:rPr>
            </w:pPr>
            <w:r>
              <w:rPr>
                <w:spacing w:val="-4"/>
                <w:sz w:val="22"/>
              </w:rPr>
              <w:t>0.1%</w:t>
            </w:r>
          </w:p>
        </w:tc>
        <w:tc>
          <w:tcPr>
            <w:tcW w:w="1441" w:type="dxa"/>
            <w:tcBorders>
              <w:top w:val="single" w:sz="4" w:space="0" w:color="8EA9DB"/>
            </w:tcBorders>
          </w:tcPr>
          <w:p>
            <w:pPr>
              <w:pStyle w:val="TableParagraph"/>
              <w:spacing w:line="248" w:lineRule="exact" w:before="0"/>
              <w:ind w:right="98"/>
              <w:rPr>
                <w:sz w:val="22"/>
              </w:rPr>
            </w:pPr>
            <w:r>
              <w:rPr>
                <w:spacing w:val="-2"/>
                <w:sz w:val="22"/>
              </w:rPr>
              <w:t>-</w:t>
            </w:r>
            <w:r>
              <w:rPr>
                <w:spacing w:val="-4"/>
                <w:sz w:val="22"/>
              </w:rPr>
              <w:t>0.2%</w:t>
            </w:r>
          </w:p>
        </w:tc>
      </w:tr>
    </w:tbl>
    <w:p>
      <w:pPr>
        <w:spacing w:before="106"/>
        <w:ind w:left="0" w:right="2" w:firstLine="0"/>
        <w:jc w:val="center"/>
        <w:rPr>
          <w:sz w:val="16"/>
        </w:rPr>
      </w:pPr>
      <w:r>
        <w:rPr>
          <w:sz w:val="16"/>
        </w:rPr>
        <w:t>Source:</w:t>
      </w:r>
      <w:r>
        <w:rPr>
          <w:spacing w:val="-6"/>
          <w:sz w:val="16"/>
        </w:rPr>
        <w:t> </w:t>
      </w:r>
      <w:r>
        <w:rPr>
          <w:sz w:val="16"/>
        </w:rPr>
        <w:t>U.S.</w:t>
      </w:r>
      <w:r>
        <w:rPr>
          <w:spacing w:val="-4"/>
          <w:sz w:val="16"/>
        </w:rPr>
        <w:t> </w:t>
      </w:r>
      <w:r>
        <w:rPr>
          <w:sz w:val="16"/>
        </w:rPr>
        <w:t>Bureau</w:t>
      </w:r>
      <w:r>
        <w:rPr>
          <w:spacing w:val="-4"/>
          <w:sz w:val="16"/>
        </w:rPr>
        <w:t> </w:t>
      </w:r>
      <w:r>
        <w:rPr>
          <w:sz w:val="16"/>
        </w:rPr>
        <w:t>of</w:t>
      </w:r>
      <w:r>
        <w:rPr>
          <w:spacing w:val="-6"/>
          <w:sz w:val="16"/>
        </w:rPr>
        <w:t> </w:t>
      </w:r>
      <w:r>
        <w:rPr>
          <w:sz w:val="16"/>
        </w:rPr>
        <w:t>Labor</w:t>
      </w:r>
      <w:r>
        <w:rPr>
          <w:spacing w:val="-5"/>
          <w:sz w:val="16"/>
        </w:rPr>
        <w:t> </w:t>
      </w:r>
      <w:r>
        <w:rPr>
          <w:sz w:val="16"/>
        </w:rPr>
        <w:t>Statistics,</w:t>
      </w:r>
      <w:r>
        <w:rPr>
          <w:spacing w:val="-4"/>
          <w:sz w:val="16"/>
        </w:rPr>
        <w:t> </w:t>
      </w:r>
      <w:r>
        <w:rPr>
          <w:sz w:val="16"/>
        </w:rPr>
        <w:t>Current</w:t>
      </w:r>
      <w:r>
        <w:rPr>
          <w:spacing w:val="-5"/>
          <w:sz w:val="16"/>
        </w:rPr>
        <w:t> </w:t>
      </w:r>
      <w:r>
        <w:rPr>
          <w:sz w:val="16"/>
        </w:rPr>
        <w:t>Population</w:t>
      </w:r>
      <w:r>
        <w:rPr>
          <w:spacing w:val="-5"/>
          <w:sz w:val="16"/>
        </w:rPr>
        <w:t> </w:t>
      </w:r>
      <w:r>
        <w:rPr>
          <w:sz w:val="16"/>
        </w:rPr>
        <w:t>Survey.</w:t>
      </w:r>
      <w:r>
        <w:rPr>
          <w:spacing w:val="28"/>
          <w:sz w:val="16"/>
        </w:rPr>
        <w:t> </w:t>
      </w:r>
      <w:r>
        <w:rPr>
          <w:sz w:val="16"/>
        </w:rPr>
        <w:t>More</w:t>
      </w:r>
      <w:r>
        <w:rPr>
          <w:spacing w:val="-3"/>
          <w:sz w:val="16"/>
        </w:rPr>
        <w:t> </w:t>
      </w:r>
      <w:r>
        <w:rPr>
          <w:sz w:val="16"/>
        </w:rPr>
        <w:t>information</w:t>
      </w:r>
      <w:r>
        <w:rPr>
          <w:spacing w:val="-4"/>
          <w:sz w:val="16"/>
        </w:rPr>
        <w:t> </w:t>
      </w:r>
      <w:r>
        <w:rPr>
          <w:sz w:val="16"/>
        </w:rPr>
        <w:t>about</w:t>
      </w:r>
      <w:r>
        <w:rPr>
          <w:spacing w:val="-3"/>
          <w:sz w:val="16"/>
        </w:rPr>
        <w:t> </w:t>
      </w:r>
      <w:r>
        <w:rPr>
          <w:sz w:val="16"/>
        </w:rPr>
        <w:t>the</w:t>
      </w:r>
      <w:r>
        <w:rPr>
          <w:spacing w:val="-5"/>
          <w:sz w:val="16"/>
        </w:rPr>
        <w:t> </w:t>
      </w:r>
      <w:r>
        <w:rPr>
          <w:sz w:val="16"/>
        </w:rPr>
        <w:t>data</w:t>
      </w:r>
      <w:r>
        <w:rPr>
          <w:spacing w:val="-2"/>
          <w:sz w:val="16"/>
        </w:rPr>
        <w:t> </w:t>
      </w:r>
      <w:r>
        <w:rPr>
          <w:sz w:val="16"/>
        </w:rPr>
        <w:t>is</w:t>
      </w:r>
      <w:r>
        <w:rPr>
          <w:spacing w:val="-5"/>
          <w:sz w:val="16"/>
        </w:rPr>
        <w:t> </w:t>
      </w:r>
      <w:r>
        <w:rPr>
          <w:sz w:val="16"/>
        </w:rPr>
        <w:t>available</w:t>
      </w:r>
      <w:r>
        <w:rPr>
          <w:spacing w:val="-4"/>
          <w:sz w:val="16"/>
        </w:rPr>
        <w:t> </w:t>
      </w:r>
      <w:r>
        <w:rPr>
          <w:sz w:val="16"/>
        </w:rPr>
        <w:t>at</w:t>
      </w:r>
      <w:r>
        <w:rPr>
          <w:spacing w:val="-5"/>
          <w:sz w:val="16"/>
        </w:rPr>
        <w:t> </w:t>
      </w:r>
      <w:hyperlink r:id="rId8">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ind w:right="1"/>
      </w:pPr>
      <w:r>
        <w:rPr/>
        <w:t>Arkansas</w:t>
      </w:r>
      <w:r>
        <w:rPr>
          <w:spacing w:val="-4"/>
        </w:rPr>
        <w:t> </w:t>
      </w:r>
      <w:r>
        <w:rPr/>
        <w:t>Nonfarm</w:t>
      </w:r>
      <w:r>
        <w:rPr>
          <w:spacing w:val="-3"/>
        </w:rPr>
        <w:t> </w:t>
      </w:r>
      <w:r>
        <w:rPr/>
        <w:t>Payroll</w:t>
      </w:r>
      <w:r>
        <w:rPr>
          <w:spacing w:val="-3"/>
        </w:rPr>
        <w:t> </w:t>
      </w:r>
      <w:r>
        <w:rPr/>
        <w:t>Jobs</w:t>
      </w:r>
      <w:r>
        <w:rPr>
          <w:spacing w:val="-2"/>
        </w:rPr>
        <w:t> </w:t>
      </w:r>
      <w:r>
        <w:rPr/>
        <w:t>(Not</w:t>
      </w:r>
      <w:r>
        <w:rPr>
          <w:spacing w:val="-2"/>
        </w:rPr>
        <w:t> </w:t>
      </w:r>
      <w:r>
        <w:rPr/>
        <w:t>Seasonally</w:t>
      </w:r>
      <w:r>
        <w:rPr>
          <w:spacing w:val="-5"/>
        </w:rPr>
        <w:t> </w:t>
      </w:r>
      <w:r>
        <w:rPr/>
        <w:t>Adjusted,</w:t>
      </w:r>
      <w:r>
        <w:rPr>
          <w:spacing w:val="-4"/>
        </w:rPr>
        <w:t> </w:t>
      </w:r>
      <w:r>
        <w:rPr/>
        <w:t>In</w:t>
      </w:r>
      <w:r>
        <w:rPr>
          <w:spacing w:val="-3"/>
        </w:rPr>
        <w:t> </w:t>
      </w:r>
      <w:r>
        <w:rPr>
          <w:spacing w:val="-2"/>
        </w:rPr>
        <w:t>Thousands)</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9"/>
        <w:gridCol w:w="1161"/>
        <w:gridCol w:w="1159"/>
        <w:gridCol w:w="1159"/>
        <w:gridCol w:w="1161"/>
        <w:gridCol w:w="1159"/>
      </w:tblGrid>
      <w:tr>
        <w:trPr>
          <w:trHeight w:val="1074" w:hRule="atLeast"/>
        </w:trPr>
        <w:tc>
          <w:tcPr>
            <w:tcW w:w="4879" w:type="dxa"/>
            <w:shd w:val="clear" w:color="auto" w:fill="D9E0F1"/>
          </w:tcPr>
          <w:p>
            <w:pPr>
              <w:pStyle w:val="TableParagraph"/>
              <w:spacing w:line="240" w:lineRule="auto" w:before="0"/>
              <w:ind w:right="0"/>
              <w:jc w:val="left"/>
              <w:rPr>
                <w:b/>
                <w:sz w:val="22"/>
              </w:rPr>
            </w:pPr>
          </w:p>
          <w:p>
            <w:pPr>
              <w:pStyle w:val="TableParagraph"/>
              <w:spacing w:line="240" w:lineRule="auto" w:before="2"/>
              <w:ind w:right="0"/>
              <w:jc w:val="left"/>
              <w:rPr>
                <w:b/>
                <w:sz w:val="20"/>
              </w:rPr>
            </w:pPr>
          </w:p>
          <w:p>
            <w:pPr>
              <w:pStyle w:val="TableParagraph"/>
              <w:spacing w:line="270" w:lineRule="atLeast" w:before="0"/>
              <w:ind w:left="751" w:right="0" w:hanging="411"/>
              <w:jc w:val="left"/>
              <w:rPr>
                <w:sz w:val="22"/>
              </w:rPr>
            </w:pPr>
            <w:r>
              <w:rPr>
                <w:sz w:val="22"/>
              </w:rPr>
              <w:t>Industry</w:t>
            </w:r>
            <w:r>
              <w:rPr>
                <w:spacing w:val="-5"/>
                <w:sz w:val="22"/>
              </w:rPr>
              <w:t> </w:t>
            </w:r>
            <w:r>
              <w:rPr>
                <w:sz w:val="22"/>
              </w:rPr>
              <w:t>Sector</w:t>
            </w:r>
            <w:r>
              <w:rPr>
                <w:spacing w:val="-6"/>
                <w:sz w:val="22"/>
              </w:rPr>
              <w:t> </w:t>
            </w:r>
            <w:r>
              <w:rPr>
                <w:sz w:val="22"/>
              </w:rPr>
              <w:t>based</w:t>
            </w:r>
            <w:r>
              <w:rPr>
                <w:spacing w:val="-8"/>
                <w:sz w:val="22"/>
              </w:rPr>
              <w:t> </w:t>
            </w:r>
            <w:r>
              <w:rPr>
                <w:sz w:val="22"/>
              </w:rPr>
              <w:t>on</w:t>
            </w:r>
            <w:r>
              <w:rPr>
                <w:spacing w:val="-6"/>
                <w:sz w:val="22"/>
              </w:rPr>
              <w:t> </w:t>
            </w:r>
            <w:r>
              <w:rPr>
                <w:sz w:val="22"/>
              </w:rPr>
              <w:t>2022</w:t>
            </w:r>
            <w:r>
              <w:rPr>
                <w:spacing w:val="-5"/>
                <w:sz w:val="22"/>
              </w:rPr>
              <w:t> </w:t>
            </w:r>
            <w:r>
              <w:rPr>
                <w:sz w:val="22"/>
              </w:rPr>
              <w:t>North</w:t>
            </w:r>
            <w:r>
              <w:rPr>
                <w:spacing w:val="-6"/>
                <w:sz w:val="22"/>
              </w:rPr>
              <w:t> </w:t>
            </w:r>
            <w:r>
              <w:rPr>
                <w:sz w:val="22"/>
              </w:rPr>
              <w:t>American Industry Classification System (NAICS)</w:t>
            </w:r>
          </w:p>
        </w:tc>
        <w:tc>
          <w:tcPr>
            <w:tcW w:w="1161" w:type="dxa"/>
            <w:shd w:val="clear" w:color="auto" w:fill="D9E0F1"/>
          </w:tcPr>
          <w:p>
            <w:pPr>
              <w:pStyle w:val="TableParagraph"/>
              <w:spacing w:line="240" w:lineRule="auto" w:before="0"/>
              <w:ind w:right="0"/>
              <w:jc w:val="left"/>
              <w:rPr>
                <w:b/>
                <w:sz w:val="22"/>
              </w:rPr>
            </w:pPr>
          </w:p>
          <w:p>
            <w:pPr>
              <w:pStyle w:val="TableParagraph"/>
              <w:spacing w:line="240" w:lineRule="auto" w:before="2"/>
              <w:ind w:right="0"/>
              <w:jc w:val="left"/>
              <w:rPr>
                <w:b/>
                <w:sz w:val="20"/>
              </w:rPr>
            </w:pPr>
          </w:p>
          <w:p>
            <w:pPr>
              <w:pStyle w:val="TableParagraph"/>
              <w:spacing w:line="270" w:lineRule="atLeast" w:before="0"/>
              <w:ind w:left="604" w:right="90" w:firstLine="26"/>
              <w:jc w:val="left"/>
              <w:rPr>
                <w:sz w:val="22"/>
              </w:rPr>
            </w:pPr>
            <w:r>
              <w:rPr>
                <w:spacing w:val="-2"/>
                <w:sz w:val="22"/>
              </w:rPr>
              <w:t>April </w:t>
            </w:r>
            <w:r>
              <w:rPr>
                <w:spacing w:val="-4"/>
                <w:sz w:val="22"/>
              </w:rPr>
              <w:t>2023</w:t>
            </w:r>
          </w:p>
        </w:tc>
        <w:tc>
          <w:tcPr>
            <w:tcW w:w="1159" w:type="dxa"/>
            <w:shd w:val="clear" w:color="auto" w:fill="D9E0F1"/>
          </w:tcPr>
          <w:p>
            <w:pPr>
              <w:pStyle w:val="TableParagraph"/>
              <w:spacing w:line="240" w:lineRule="auto" w:before="0"/>
              <w:ind w:right="0"/>
              <w:jc w:val="left"/>
              <w:rPr>
                <w:b/>
                <w:sz w:val="22"/>
              </w:rPr>
            </w:pPr>
          </w:p>
          <w:p>
            <w:pPr>
              <w:pStyle w:val="TableParagraph"/>
              <w:spacing w:line="240" w:lineRule="auto" w:before="2"/>
              <w:ind w:right="0"/>
              <w:jc w:val="left"/>
              <w:rPr>
                <w:b/>
                <w:sz w:val="20"/>
              </w:rPr>
            </w:pPr>
          </w:p>
          <w:p>
            <w:pPr>
              <w:pStyle w:val="TableParagraph"/>
              <w:spacing w:line="270" w:lineRule="atLeast" w:before="0"/>
              <w:ind w:left="605" w:right="87" w:hanging="135"/>
              <w:jc w:val="left"/>
              <w:rPr>
                <w:sz w:val="22"/>
              </w:rPr>
            </w:pPr>
            <w:r>
              <w:rPr>
                <w:spacing w:val="-4"/>
                <w:sz w:val="22"/>
              </w:rPr>
              <w:t>March 2023</w:t>
            </w:r>
          </w:p>
        </w:tc>
        <w:tc>
          <w:tcPr>
            <w:tcW w:w="1159" w:type="dxa"/>
            <w:shd w:val="clear" w:color="auto" w:fill="D9E0F1"/>
          </w:tcPr>
          <w:p>
            <w:pPr>
              <w:pStyle w:val="TableParagraph"/>
              <w:spacing w:line="240" w:lineRule="auto" w:before="0"/>
              <w:ind w:right="0"/>
              <w:jc w:val="left"/>
              <w:rPr>
                <w:b/>
                <w:sz w:val="22"/>
              </w:rPr>
            </w:pPr>
          </w:p>
          <w:p>
            <w:pPr>
              <w:pStyle w:val="TableParagraph"/>
              <w:spacing w:line="240" w:lineRule="auto" w:before="2"/>
              <w:ind w:right="0"/>
              <w:jc w:val="left"/>
              <w:rPr>
                <w:b/>
                <w:sz w:val="20"/>
              </w:rPr>
            </w:pPr>
          </w:p>
          <w:p>
            <w:pPr>
              <w:pStyle w:val="TableParagraph"/>
              <w:spacing w:line="270" w:lineRule="atLeast" w:before="0"/>
              <w:ind w:left="605" w:right="87" w:firstLine="26"/>
              <w:jc w:val="left"/>
              <w:rPr>
                <w:sz w:val="22"/>
              </w:rPr>
            </w:pPr>
            <w:r>
              <w:rPr>
                <w:spacing w:val="-2"/>
                <w:sz w:val="22"/>
              </w:rPr>
              <w:t>April </w:t>
            </w:r>
            <w:r>
              <w:rPr>
                <w:spacing w:val="-4"/>
                <w:sz w:val="22"/>
              </w:rPr>
              <w:t>2022</w:t>
            </w:r>
          </w:p>
        </w:tc>
        <w:tc>
          <w:tcPr>
            <w:tcW w:w="1161" w:type="dxa"/>
            <w:shd w:val="clear" w:color="auto" w:fill="D9E0F1"/>
          </w:tcPr>
          <w:p>
            <w:pPr>
              <w:pStyle w:val="TableParagraph"/>
              <w:spacing w:line="268" w:lineRule="exact" w:before="0"/>
              <w:ind w:right="98"/>
              <w:rPr>
                <w:sz w:val="22"/>
              </w:rPr>
            </w:pPr>
            <w:r>
              <w:rPr>
                <w:spacing w:val="-2"/>
                <w:sz w:val="22"/>
              </w:rPr>
              <w:t>Change</w:t>
            </w:r>
          </w:p>
          <w:p>
            <w:pPr>
              <w:pStyle w:val="TableParagraph"/>
              <w:spacing w:line="270" w:lineRule="atLeast" w:before="0"/>
              <w:ind w:left="471" w:right="94" w:firstLine="144"/>
              <w:rPr>
                <w:sz w:val="22"/>
              </w:rPr>
            </w:pPr>
            <w:r>
              <w:rPr>
                <w:spacing w:val="-4"/>
                <w:sz w:val="22"/>
              </w:rPr>
              <w:t>from March 2023</w:t>
            </w:r>
          </w:p>
        </w:tc>
        <w:tc>
          <w:tcPr>
            <w:tcW w:w="1159" w:type="dxa"/>
            <w:shd w:val="clear" w:color="auto" w:fill="D9E0F1"/>
          </w:tcPr>
          <w:p>
            <w:pPr>
              <w:pStyle w:val="TableParagraph"/>
              <w:spacing w:line="268" w:lineRule="exact" w:before="0"/>
              <w:ind w:left="385" w:right="0"/>
              <w:jc w:val="left"/>
              <w:rPr>
                <w:sz w:val="22"/>
              </w:rPr>
            </w:pPr>
            <w:r>
              <w:rPr>
                <w:spacing w:val="-2"/>
                <w:sz w:val="22"/>
              </w:rPr>
              <w:t>Change</w:t>
            </w:r>
          </w:p>
          <w:p>
            <w:pPr>
              <w:pStyle w:val="TableParagraph"/>
              <w:spacing w:line="270" w:lineRule="atLeast" w:before="0"/>
              <w:ind w:left="606" w:right="91" w:firstLine="9"/>
              <w:jc w:val="both"/>
              <w:rPr>
                <w:sz w:val="22"/>
              </w:rPr>
            </w:pPr>
            <w:r>
              <w:rPr>
                <w:spacing w:val="-4"/>
                <w:sz w:val="22"/>
              </w:rPr>
              <w:t>from </w:t>
            </w:r>
            <w:r>
              <w:rPr>
                <w:spacing w:val="-2"/>
                <w:sz w:val="22"/>
              </w:rPr>
              <w:t>April </w:t>
            </w:r>
            <w:r>
              <w:rPr>
                <w:spacing w:val="-4"/>
                <w:sz w:val="22"/>
              </w:rPr>
              <w:t>2022</w:t>
            </w:r>
          </w:p>
        </w:tc>
      </w:tr>
      <w:tr>
        <w:trPr>
          <w:trHeight w:val="296" w:hRule="atLeast"/>
        </w:trPr>
        <w:tc>
          <w:tcPr>
            <w:tcW w:w="4879" w:type="dxa"/>
            <w:tcBorders>
              <w:bottom w:val="single" w:sz="4" w:space="0" w:color="8EA9DB"/>
            </w:tcBorders>
          </w:tcPr>
          <w:p>
            <w:pPr>
              <w:pStyle w:val="TableParagraph"/>
              <w:spacing w:before="27"/>
              <w:ind w:left="107" w:right="0"/>
              <w:jc w:val="left"/>
              <w:rPr>
                <w:sz w:val="22"/>
              </w:rPr>
            </w:pPr>
            <w:r>
              <w:rPr>
                <w:sz w:val="22"/>
              </w:rPr>
              <w:t>Total</w:t>
            </w:r>
            <w:r>
              <w:rPr>
                <w:spacing w:val="-7"/>
                <w:sz w:val="22"/>
              </w:rPr>
              <w:t> </w:t>
            </w:r>
            <w:r>
              <w:rPr>
                <w:sz w:val="22"/>
              </w:rPr>
              <w:t>Nonfarm</w:t>
            </w:r>
            <w:r>
              <w:rPr>
                <w:spacing w:val="-4"/>
                <w:sz w:val="22"/>
              </w:rPr>
              <w:t> </w:t>
            </w:r>
            <w:r>
              <w:rPr>
                <w:sz w:val="22"/>
              </w:rPr>
              <w:t>Payroll</w:t>
            </w:r>
            <w:r>
              <w:rPr>
                <w:spacing w:val="-3"/>
                <w:sz w:val="22"/>
              </w:rPr>
              <w:t> </w:t>
            </w:r>
            <w:r>
              <w:rPr>
                <w:spacing w:val="-4"/>
                <w:sz w:val="22"/>
              </w:rPr>
              <w:t>Jobs</w:t>
            </w:r>
          </w:p>
        </w:tc>
        <w:tc>
          <w:tcPr>
            <w:tcW w:w="1161" w:type="dxa"/>
            <w:tcBorders>
              <w:bottom w:val="single" w:sz="4" w:space="0" w:color="8EA9DB"/>
            </w:tcBorders>
          </w:tcPr>
          <w:p>
            <w:pPr>
              <w:pStyle w:val="TableParagraph"/>
              <w:spacing w:before="27"/>
              <w:ind w:right="96"/>
              <w:rPr>
                <w:sz w:val="22"/>
              </w:rPr>
            </w:pPr>
            <w:r>
              <w:rPr>
                <w:spacing w:val="-2"/>
                <w:sz w:val="22"/>
              </w:rPr>
              <w:t>1360.7</w:t>
            </w:r>
          </w:p>
        </w:tc>
        <w:tc>
          <w:tcPr>
            <w:tcW w:w="1159" w:type="dxa"/>
            <w:tcBorders>
              <w:bottom w:val="single" w:sz="4" w:space="0" w:color="8EA9DB"/>
            </w:tcBorders>
          </w:tcPr>
          <w:p>
            <w:pPr>
              <w:pStyle w:val="TableParagraph"/>
              <w:spacing w:before="27"/>
              <w:rPr>
                <w:sz w:val="22"/>
              </w:rPr>
            </w:pPr>
            <w:r>
              <w:rPr>
                <w:spacing w:val="-2"/>
                <w:sz w:val="22"/>
              </w:rPr>
              <w:t>1349.8</w:t>
            </w:r>
          </w:p>
        </w:tc>
        <w:tc>
          <w:tcPr>
            <w:tcW w:w="1159" w:type="dxa"/>
            <w:tcBorders>
              <w:bottom w:val="single" w:sz="4" w:space="0" w:color="8EA9DB"/>
            </w:tcBorders>
          </w:tcPr>
          <w:p>
            <w:pPr>
              <w:pStyle w:val="TableParagraph"/>
              <w:spacing w:before="27"/>
              <w:rPr>
                <w:sz w:val="22"/>
              </w:rPr>
            </w:pPr>
            <w:r>
              <w:rPr>
                <w:spacing w:val="-2"/>
                <w:sz w:val="22"/>
              </w:rPr>
              <w:t>1326.9</w:t>
            </w:r>
          </w:p>
        </w:tc>
        <w:tc>
          <w:tcPr>
            <w:tcW w:w="1161" w:type="dxa"/>
            <w:tcBorders>
              <w:bottom w:val="single" w:sz="4" w:space="0" w:color="8EA9DB"/>
            </w:tcBorders>
          </w:tcPr>
          <w:p>
            <w:pPr>
              <w:pStyle w:val="TableParagraph"/>
              <w:spacing w:before="27"/>
              <w:ind w:right="95"/>
              <w:rPr>
                <w:sz w:val="22"/>
              </w:rPr>
            </w:pPr>
            <w:r>
              <w:rPr>
                <w:spacing w:val="-4"/>
                <w:sz w:val="22"/>
              </w:rPr>
              <w:t>10.9</w:t>
            </w:r>
          </w:p>
        </w:tc>
        <w:tc>
          <w:tcPr>
            <w:tcW w:w="1159" w:type="dxa"/>
            <w:tcBorders>
              <w:bottom w:val="single" w:sz="4" w:space="0" w:color="8EA9DB"/>
            </w:tcBorders>
          </w:tcPr>
          <w:p>
            <w:pPr>
              <w:pStyle w:val="TableParagraph"/>
              <w:spacing w:before="27"/>
              <w:ind w:right="92"/>
              <w:rPr>
                <w:sz w:val="22"/>
              </w:rPr>
            </w:pPr>
            <w:r>
              <w:rPr>
                <w:spacing w:val="-4"/>
                <w:sz w:val="22"/>
              </w:rPr>
              <w:t>33.8</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208" w:right="0"/>
              <w:jc w:val="left"/>
              <w:rPr>
                <w:sz w:val="22"/>
              </w:rPr>
            </w:pPr>
            <w:r>
              <w:rPr>
                <w:sz w:val="22"/>
              </w:rPr>
              <w:t>Goods</w:t>
            </w:r>
            <w:r>
              <w:rPr>
                <w:spacing w:val="-5"/>
                <w:sz w:val="22"/>
              </w:rPr>
              <w:t> </w:t>
            </w:r>
            <w:r>
              <w:rPr>
                <w:spacing w:val="-2"/>
                <w:sz w:val="22"/>
              </w:rPr>
              <w:t>Producing</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2"/>
                <w:sz w:val="22"/>
              </w:rPr>
              <w:t>229.5</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228.1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222.1</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1.4</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7.4</w:t>
            </w:r>
          </w:p>
        </w:tc>
      </w:tr>
      <w:tr>
        <w:trPr>
          <w:trHeight w:val="299" w:hRule="atLeast"/>
        </w:trPr>
        <w:tc>
          <w:tcPr>
            <w:tcW w:w="4879" w:type="dxa"/>
            <w:tcBorders>
              <w:top w:val="single" w:sz="4" w:space="0" w:color="8EA9DB"/>
              <w:bottom w:val="single" w:sz="4" w:space="0" w:color="8EA9DB"/>
            </w:tcBorders>
          </w:tcPr>
          <w:p>
            <w:pPr>
              <w:pStyle w:val="TableParagraph"/>
              <w:ind w:left="357" w:right="0"/>
              <w:jc w:val="left"/>
              <w:rPr>
                <w:sz w:val="22"/>
              </w:rPr>
            </w:pPr>
            <w:r>
              <w:rPr>
                <w:sz w:val="22"/>
              </w:rPr>
              <w:t>Mining,</w:t>
            </w:r>
            <w:r>
              <w:rPr>
                <w:spacing w:val="-4"/>
                <w:sz w:val="22"/>
              </w:rPr>
              <w:t> </w:t>
            </w:r>
            <w:r>
              <w:rPr>
                <w:sz w:val="22"/>
              </w:rPr>
              <w:t>Logging,</w:t>
            </w:r>
            <w:r>
              <w:rPr>
                <w:spacing w:val="-4"/>
                <w:sz w:val="22"/>
              </w:rPr>
              <w:t> </w:t>
            </w:r>
            <w:r>
              <w:rPr>
                <w:sz w:val="22"/>
              </w:rPr>
              <w:t>&amp;</w:t>
            </w:r>
            <w:r>
              <w:rPr>
                <w:spacing w:val="-5"/>
                <w:sz w:val="22"/>
              </w:rPr>
              <w:t> </w:t>
            </w:r>
            <w:r>
              <w:rPr>
                <w:spacing w:val="-2"/>
                <w:sz w:val="22"/>
              </w:rPr>
              <w:t>Construction</w:t>
            </w:r>
          </w:p>
        </w:tc>
        <w:tc>
          <w:tcPr>
            <w:tcW w:w="1161" w:type="dxa"/>
            <w:tcBorders>
              <w:top w:val="single" w:sz="4" w:space="0" w:color="8EA9DB"/>
              <w:bottom w:val="single" w:sz="4" w:space="0" w:color="8EA9DB"/>
            </w:tcBorders>
          </w:tcPr>
          <w:p>
            <w:pPr>
              <w:pStyle w:val="TableParagraph"/>
              <w:ind w:right="96"/>
              <w:rPr>
                <w:sz w:val="22"/>
              </w:rPr>
            </w:pPr>
            <w:r>
              <w:rPr>
                <w:spacing w:val="-4"/>
                <w:sz w:val="22"/>
              </w:rPr>
              <w:t>66.4</w:t>
            </w:r>
          </w:p>
        </w:tc>
        <w:tc>
          <w:tcPr>
            <w:tcW w:w="1159" w:type="dxa"/>
            <w:tcBorders>
              <w:top w:val="single" w:sz="4" w:space="0" w:color="8EA9DB"/>
              <w:bottom w:val="single" w:sz="4" w:space="0" w:color="8EA9DB"/>
            </w:tcBorders>
          </w:tcPr>
          <w:p>
            <w:pPr>
              <w:pStyle w:val="TableParagraph"/>
              <w:rPr>
                <w:sz w:val="22"/>
              </w:rPr>
            </w:pPr>
            <w:r>
              <w:rPr>
                <w:spacing w:val="-4"/>
                <w:sz w:val="22"/>
              </w:rPr>
              <w:t>64.5</w:t>
            </w:r>
          </w:p>
        </w:tc>
        <w:tc>
          <w:tcPr>
            <w:tcW w:w="1159" w:type="dxa"/>
            <w:tcBorders>
              <w:top w:val="single" w:sz="4" w:space="0" w:color="8EA9DB"/>
              <w:bottom w:val="single" w:sz="4" w:space="0" w:color="8EA9DB"/>
            </w:tcBorders>
          </w:tcPr>
          <w:p>
            <w:pPr>
              <w:pStyle w:val="TableParagraph"/>
              <w:rPr>
                <w:sz w:val="22"/>
              </w:rPr>
            </w:pPr>
            <w:r>
              <w:rPr>
                <w:spacing w:val="-4"/>
                <w:sz w:val="22"/>
              </w:rPr>
              <w:t>61.3</w:t>
            </w:r>
          </w:p>
        </w:tc>
        <w:tc>
          <w:tcPr>
            <w:tcW w:w="1161" w:type="dxa"/>
            <w:tcBorders>
              <w:top w:val="single" w:sz="4" w:space="0" w:color="8EA9DB"/>
              <w:bottom w:val="single" w:sz="4" w:space="0" w:color="8EA9DB"/>
            </w:tcBorders>
          </w:tcPr>
          <w:p>
            <w:pPr>
              <w:pStyle w:val="TableParagraph"/>
              <w:ind w:right="95"/>
              <w:rPr>
                <w:sz w:val="22"/>
              </w:rPr>
            </w:pPr>
            <w:r>
              <w:rPr>
                <w:spacing w:val="-5"/>
                <w:sz w:val="22"/>
              </w:rPr>
              <w:t>1.9</w:t>
            </w:r>
          </w:p>
        </w:tc>
        <w:tc>
          <w:tcPr>
            <w:tcW w:w="1159" w:type="dxa"/>
            <w:tcBorders>
              <w:top w:val="single" w:sz="4" w:space="0" w:color="8EA9DB"/>
              <w:bottom w:val="single" w:sz="4" w:space="0" w:color="8EA9DB"/>
            </w:tcBorders>
          </w:tcPr>
          <w:p>
            <w:pPr>
              <w:pStyle w:val="TableParagraph"/>
              <w:rPr>
                <w:sz w:val="22"/>
              </w:rPr>
            </w:pPr>
            <w:r>
              <w:rPr>
                <w:spacing w:val="-5"/>
                <w:sz w:val="22"/>
              </w:rPr>
              <w:t>5.1</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607" w:right="0"/>
              <w:jc w:val="left"/>
              <w:rPr>
                <w:b/>
                <w:sz w:val="22"/>
              </w:rPr>
            </w:pPr>
            <w:r>
              <w:rPr>
                <w:b/>
                <w:sz w:val="22"/>
              </w:rPr>
              <w:t>Mining</w:t>
            </w:r>
            <w:r>
              <w:rPr>
                <w:b/>
                <w:spacing w:val="-3"/>
                <w:sz w:val="22"/>
              </w:rPr>
              <w:t> </w:t>
            </w:r>
            <w:r>
              <w:rPr>
                <w:b/>
                <w:sz w:val="22"/>
              </w:rPr>
              <w:t>&amp;</w:t>
            </w:r>
            <w:r>
              <w:rPr>
                <w:b/>
                <w:spacing w:val="-4"/>
                <w:sz w:val="22"/>
              </w:rPr>
              <w:t> </w:t>
            </w:r>
            <w:r>
              <w:rPr>
                <w:b/>
                <w:spacing w:val="-2"/>
                <w:sz w:val="22"/>
              </w:rPr>
              <w:t>Logging</w:t>
            </w:r>
          </w:p>
        </w:tc>
        <w:tc>
          <w:tcPr>
            <w:tcW w:w="1161" w:type="dxa"/>
            <w:tcBorders>
              <w:top w:val="single" w:sz="4" w:space="0" w:color="8EA9DB"/>
              <w:bottom w:val="single" w:sz="4" w:space="0" w:color="8EA9DB"/>
            </w:tcBorders>
            <w:shd w:val="clear" w:color="auto" w:fill="D9E0F1"/>
          </w:tcPr>
          <w:p>
            <w:pPr>
              <w:pStyle w:val="TableParagraph"/>
              <w:ind w:right="97"/>
              <w:rPr>
                <w:b/>
                <w:sz w:val="22"/>
              </w:rPr>
            </w:pPr>
            <w:r>
              <w:rPr>
                <w:b/>
                <w:spacing w:val="-5"/>
                <w:sz w:val="22"/>
              </w:rPr>
              <w:t>4.9</w:t>
            </w:r>
          </w:p>
        </w:tc>
        <w:tc>
          <w:tcPr>
            <w:tcW w:w="1159" w:type="dxa"/>
            <w:tcBorders>
              <w:top w:val="single" w:sz="4" w:space="0" w:color="8EA9DB"/>
              <w:bottom w:val="single" w:sz="4" w:space="0" w:color="8EA9DB"/>
            </w:tcBorders>
            <w:shd w:val="clear" w:color="auto" w:fill="D9E0F1"/>
          </w:tcPr>
          <w:p>
            <w:pPr>
              <w:pStyle w:val="TableParagraph"/>
              <w:ind w:right="94"/>
              <w:rPr>
                <w:b/>
                <w:sz w:val="22"/>
              </w:rPr>
            </w:pPr>
            <w:r>
              <w:rPr>
                <w:b/>
                <w:spacing w:val="-5"/>
                <w:sz w:val="22"/>
              </w:rPr>
              <w:t>4.9</w:t>
            </w:r>
          </w:p>
        </w:tc>
        <w:tc>
          <w:tcPr>
            <w:tcW w:w="1159" w:type="dxa"/>
            <w:tcBorders>
              <w:top w:val="single" w:sz="4" w:space="0" w:color="8EA9DB"/>
              <w:bottom w:val="single" w:sz="4" w:space="0" w:color="8EA9DB"/>
            </w:tcBorders>
            <w:shd w:val="clear" w:color="auto" w:fill="D9E0F1"/>
          </w:tcPr>
          <w:p>
            <w:pPr>
              <w:pStyle w:val="TableParagraph"/>
              <w:ind w:right="94"/>
              <w:rPr>
                <w:b/>
                <w:sz w:val="22"/>
              </w:rPr>
            </w:pPr>
            <w:r>
              <w:rPr>
                <w:b/>
                <w:spacing w:val="-5"/>
                <w:sz w:val="22"/>
              </w:rPr>
              <w:t>5.1</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5"/>
                <w:sz w:val="22"/>
              </w:rPr>
              <w:t>0.0</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2"/>
                <w:sz w:val="22"/>
              </w:rPr>
              <w:t>-</w:t>
            </w:r>
            <w:r>
              <w:rPr>
                <w:b/>
                <w:spacing w:val="-5"/>
                <w:sz w:val="22"/>
              </w:rPr>
              <w:t>0.2</w:t>
            </w:r>
          </w:p>
        </w:tc>
      </w:tr>
      <w:tr>
        <w:trPr>
          <w:trHeight w:val="302" w:hRule="atLeast"/>
        </w:trPr>
        <w:tc>
          <w:tcPr>
            <w:tcW w:w="4879" w:type="dxa"/>
            <w:tcBorders>
              <w:top w:val="single" w:sz="4" w:space="0" w:color="8EA9DB"/>
              <w:bottom w:val="single" w:sz="4" w:space="0" w:color="8EA9DB"/>
            </w:tcBorders>
          </w:tcPr>
          <w:p>
            <w:pPr>
              <w:pStyle w:val="TableParagraph"/>
              <w:spacing w:before="32"/>
              <w:ind w:left="607" w:right="0"/>
              <w:jc w:val="left"/>
              <w:rPr>
                <w:b/>
                <w:sz w:val="22"/>
              </w:rPr>
            </w:pPr>
            <w:r>
              <w:rPr>
                <w:b/>
                <w:spacing w:val="-2"/>
                <w:sz w:val="22"/>
              </w:rPr>
              <w:t>Construction</w:t>
            </w:r>
          </w:p>
        </w:tc>
        <w:tc>
          <w:tcPr>
            <w:tcW w:w="1161" w:type="dxa"/>
            <w:tcBorders>
              <w:top w:val="single" w:sz="4" w:space="0" w:color="8EA9DB"/>
              <w:bottom w:val="single" w:sz="4" w:space="0" w:color="8EA9DB"/>
            </w:tcBorders>
          </w:tcPr>
          <w:p>
            <w:pPr>
              <w:pStyle w:val="TableParagraph"/>
              <w:spacing w:before="32"/>
              <w:ind w:right="96"/>
              <w:rPr>
                <w:b/>
                <w:sz w:val="22"/>
              </w:rPr>
            </w:pPr>
            <w:r>
              <w:rPr>
                <w:b/>
                <w:spacing w:val="-4"/>
                <w:sz w:val="22"/>
              </w:rPr>
              <w:t>61.5</w:t>
            </w:r>
          </w:p>
        </w:tc>
        <w:tc>
          <w:tcPr>
            <w:tcW w:w="1159" w:type="dxa"/>
            <w:tcBorders>
              <w:top w:val="single" w:sz="4" w:space="0" w:color="8EA9DB"/>
              <w:bottom w:val="single" w:sz="4" w:space="0" w:color="8EA9DB"/>
            </w:tcBorders>
          </w:tcPr>
          <w:p>
            <w:pPr>
              <w:pStyle w:val="TableParagraph"/>
              <w:spacing w:before="32"/>
              <w:rPr>
                <w:b/>
                <w:sz w:val="22"/>
              </w:rPr>
            </w:pPr>
            <w:r>
              <w:rPr>
                <w:b/>
                <w:spacing w:val="-4"/>
                <w:sz w:val="22"/>
              </w:rPr>
              <w:t>59.6</w:t>
            </w:r>
          </w:p>
        </w:tc>
        <w:tc>
          <w:tcPr>
            <w:tcW w:w="1159" w:type="dxa"/>
            <w:tcBorders>
              <w:top w:val="single" w:sz="4" w:space="0" w:color="8EA9DB"/>
              <w:bottom w:val="single" w:sz="4" w:space="0" w:color="8EA9DB"/>
            </w:tcBorders>
          </w:tcPr>
          <w:p>
            <w:pPr>
              <w:pStyle w:val="TableParagraph"/>
              <w:spacing w:before="32"/>
              <w:rPr>
                <w:b/>
                <w:sz w:val="22"/>
              </w:rPr>
            </w:pPr>
            <w:r>
              <w:rPr>
                <w:b/>
                <w:spacing w:val="-4"/>
                <w:sz w:val="22"/>
              </w:rPr>
              <w:t>56.2</w:t>
            </w:r>
          </w:p>
        </w:tc>
        <w:tc>
          <w:tcPr>
            <w:tcW w:w="1161" w:type="dxa"/>
            <w:tcBorders>
              <w:top w:val="single" w:sz="4" w:space="0" w:color="8EA9DB"/>
              <w:bottom w:val="single" w:sz="4" w:space="0" w:color="8EA9DB"/>
            </w:tcBorders>
          </w:tcPr>
          <w:p>
            <w:pPr>
              <w:pStyle w:val="TableParagraph"/>
              <w:spacing w:before="32"/>
              <w:ind w:right="96"/>
              <w:rPr>
                <w:b/>
                <w:sz w:val="22"/>
              </w:rPr>
            </w:pPr>
            <w:r>
              <w:rPr>
                <w:b/>
                <w:spacing w:val="-5"/>
                <w:sz w:val="22"/>
              </w:rPr>
              <w:t>1.9</w:t>
            </w:r>
          </w:p>
        </w:tc>
        <w:tc>
          <w:tcPr>
            <w:tcW w:w="1159" w:type="dxa"/>
            <w:tcBorders>
              <w:top w:val="single" w:sz="4" w:space="0" w:color="8EA9DB"/>
              <w:bottom w:val="single" w:sz="4" w:space="0" w:color="8EA9DB"/>
            </w:tcBorders>
          </w:tcPr>
          <w:p>
            <w:pPr>
              <w:pStyle w:val="TableParagraph"/>
              <w:spacing w:before="32"/>
              <w:rPr>
                <w:b/>
                <w:sz w:val="22"/>
              </w:rPr>
            </w:pPr>
            <w:r>
              <w:rPr>
                <w:b/>
                <w:spacing w:val="-5"/>
                <w:sz w:val="22"/>
              </w:rPr>
              <w:t>5.3</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856" w:right="0"/>
              <w:jc w:val="left"/>
              <w:rPr>
                <w:sz w:val="22"/>
              </w:rPr>
            </w:pPr>
            <w:r>
              <w:rPr>
                <w:sz w:val="22"/>
              </w:rPr>
              <w:t>Specialty</w:t>
            </w:r>
            <w:r>
              <w:rPr>
                <w:spacing w:val="-7"/>
                <w:sz w:val="22"/>
              </w:rPr>
              <w:t> </w:t>
            </w:r>
            <w:r>
              <w:rPr>
                <w:sz w:val="22"/>
              </w:rPr>
              <w:t>Trade</w:t>
            </w:r>
            <w:r>
              <w:rPr>
                <w:spacing w:val="-6"/>
                <w:sz w:val="22"/>
              </w:rPr>
              <w:t> </w:t>
            </w:r>
            <w:r>
              <w:rPr>
                <w:spacing w:val="-2"/>
                <w:sz w:val="22"/>
              </w:rPr>
              <w:t>Contractors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37.8</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36.6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35.6</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1.2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2.2</w:t>
            </w:r>
          </w:p>
        </w:tc>
      </w:tr>
      <w:tr>
        <w:trPr>
          <w:trHeight w:val="299" w:hRule="atLeast"/>
        </w:trPr>
        <w:tc>
          <w:tcPr>
            <w:tcW w:w="4879" w:type="dxa"/>
            <w:tcBorders>
              <w:top w:val="single" w:sz="4" w:space="0" w:color="8EA9DB"/>
              <w:bottom w:val="single" w:sz="4" w:space="0" w:color="8EA9DB"/>
            </w:tcBorders>
          </w:tcPr>
          <w:p>
            <w:pPr>
              <w:pStyle w:val="TableParagraph"/>
              <w:ind w:left="607" w:right="0"/>
              <w:jc w:val="left"/>
              <w:rPr>
                <w:b/>
                <w:sz w:val="22"/>
              </w:rPr>
            </w:pPr>
            <w:r>
              <w:rPr>
                <w:b/>
                <w:spacing w:val="-2"/>
                <w:sz w:val="22"/>
              </w:rPr>
              <w:t>Manufacturing</w:t>
            </w:r>
          </w:p>
        </w:tc>
        <w:tc>
          <w:tcPr>
            <w:tcW w:w="1161" w:type="dxa"/>
            <w:tcBorders>
              <w:top w:val="single" w:sz="4" w:space="0" w:color="8EA9DB"/>
              <w:bottom w:val="single" w:sz="4" w:space="0" w:color="8EA9DB"/>
            </w:tcBorders>
          </w:tcPr>
          <w:p>
            <w:pPr>
              <w:pStyle w:val="TableParagraph"/>
              <w:ind w:right="96"/>
              <w:rPr>
                <w:b/>
                <w:sz w:val="22"/>
              </w:rPr>
            </w:pPr>
            <w:r>
              <w:rPr>
                <w:b/>
                <w:spacing w:val="-2"/>
                <w:sz w:val="22"/>
              </w:rPr>
              <w:t>163.1</w:t>
            </w:r>
          </w:p>
        </w:tc>
        <w:tc>
          <w:tcPr>
            <w:tcW w:w="1159" w:type="dxa"/>
            <w:tcBorders>
              <w:top w:val="single" w:sz="4" w:space="0" w:color="8EA9DB"/>
              <w:bottom w:val="single" w:sz="4" w:space="0" w:color="8EA9DB"/>
            </w:tcBorders>
          </w:tcPr>
          <w:p>
            <w:pPr>
              <w:pStyle w:val="TableParagraph"/>
              <w:rPr>
                <w:b/>
                <w:sz w:val="22"/>
              </w:rPr>
            </w:pPr>
            <w:r>
              <w:rPr>
                <w:b/>
                <w:spacing w:val="-2"/>
                <w:sz w:val="22"/>
              </w:rPr>
              <w:t>163.6</w:t>
            </w:r>
          </w:p>
        </w:tc>
        <w:tc>
          <w:tcPr>
            <w:tcW w:w="1159" w:type="dxa"/>
            <w:tcBorders>
              <w:top w:val="single" w:sz="4" w:space="0" w:color="8EA9DB"/>
              <w:bottom w:val="single" w:sz="4" w:space="0" w:color="8EA9DB"/>
            </w:tcBorders>
          </w:tcPr>
          <w:p>
            <w:pPr>
              <w:pStyle w:val="TableParagraph"/>
              <w:rPr>
                <w:b/>
                <w:sz w:val="22"/>
              </w:rPr>
            </w:pPr>
            <w:r>
              <w:rPr>
                <w:b/>
                <w:spacing w:val="-2"/>
                <w:sz w:val="22"/>
              </w:rPr>
              <w:t>160.8</w:t>
            </w:r>
          </w:p>
        </w:tc>
        <w:tc>
          <w:tcPr>
            <w:tcW w:w="1161" w:type="dxa"/>
            <w:tcBorders>
              <w:top w:val="single" w:sz="4" w:space="0" w:color="8EA9DB"/>
              <w:bottom w:val="single" w:sz="4" w:space="0" w:color="8EA9DB"/>
            </w:tcBorders>
          </w:tcPr>
          <w:p>
            <w:pPr>
              <w:pStyle w:val="TableParagraph"/>
              <w:ind w:right="96"/>
              <w:rPr>
                <w:b/>
                <w:sz w:val="22"/>
              </w:rPr>
            </w:pPr>
            <w:r>
              <w:rPr>
                <w:b/>
                <w:spacing w:val="-2"/>
                <w:sz w:val="22"/>
              </w:rPr>
              <w:t>-</w:t>
            </w:r>
            <w:r>
              <w:rPr>
                <w:b/>
                <w:spacing w:val="-5"/>
                <w:sz w:val="22"/>
              </w:rPr>
              <w:t>0.5</w:t>
            </w:r>
          </w:p>
        </w:tc>
        <w:tc>
          <w:tcPr>
            <w:tcW w:w="1159" w:type="dxa"/>
            <w:tcBorders>
              <w:top w:val="single" w:sz="4" w:space="0" w:color="8EA9DB"/>
              <w:bottom w:val="single" w:sz="4" w:space="0" w:color="8EA9DB"/>
            </w:tcBorders>
          </w:tcPr>
          <w:p>
            <w:pPr>
              <w:pStyle w:val="TableParagraph"/>
              <w:rPr>
                <w:b/>
                <w:sz w:val="22"/>
              </w:rPr>
            </w:pPr>
            <w:r>
              <w:rPr>
                <w:b/>
                <w:spacing w:val="-5"/>
                <w:sz w:val="22"/>
              </w:rPr>
              <w:t>2.3</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854" w:right="0"/>
              <w:jc w:val="left"/>
              <w:rPr>
                <w:sz w:val="22"/>
              </w:rPr>
            </w:pPr>
            <w:r>
              <w:rPr>
                <w:sz w:val="22"/>
              </w:rPr>
              <w:t>Durable</w:t>
            </w:r>
            <w:r>
              <w:rPr>
                <w:spacing w:val="-6"/>
                <w:sz w:val="22"/>
              </w:rPr>
              <w:t> </w:t>
            </w:r>
            <w:r>
              <w:rPr>
                <w:spacing w:val="-4"/>
                <w:sz w:val="22"/>
              </w:rPr>
              <w:t>Goods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79.6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79.8</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77.9</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2"/>
                <w:sz w:val="22"/>
              </w:rPr>
              <w:t>-</w:t>
            </w:r>
            <w:r>
              <w:rPr>
                <w:spacing w:val="-5"/>
                <w:sz w:val="22"/>
              </w:rPr>
              <w:t>0.2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1.7</w:t>
            </w:r>
          </w:p>
        </w:tc>
      </w:tr>
      <w:tr>
        <w:trPr>
          <w:trHeight w:val="299" w:hRule="atLeast"/>
        </w:trPr>
        <w:tc>
          <w:tcPr>
            <w:tcW w:w="4879" w:type="dxa"/>
            <w:tcBorders>
              <w:top w:val="single" w:sz="4" w:space="0" w:color="8EA9DB"/>
              <w:bottom w:val="single" w:sz="4" w:space="0" w:color="8EA9DB"/>
            </w:tcBorders>
          </w:tcPr>
          <w:p>
            <w:pPr>
              <w:pStyle w:val="TableParagraph"/>
              <w:ind w:left="856" w:right="0"/>
              <w:jc w:val="left"/>
              <w:rPr>
                <w:sz w:val="22"/>
              </w:rPr>
            </w:pPr>
            <w:r>
              <w:rPr>
                <w:sz w:val="22"/>
              </w:rPr>
              <w:t>Nondurable</w:t>
            </w:r>
            <w:r>
              <w:rPr>
                <w:spacing w:val="-11"/>
                <w:sz w:val="22"/>
              </w:rPr>
              <w:t> </w:t>
            </w:r>
            <w:r>
              <w:rPr>
                <w:spacing w:val="-4"/>
                <w:sz w:val="22"/>
              </w:rPr>
              <w:t>Goods</w:t>
            </w:r>
          </w:p>
        </w:tc>
        <w:tc>
          <w:tcPr>
            <w:tcW w:w="1161" w:type="dxa"/>
            <w:tcBorders>
              <w:top w:val="single" w:sz="4" w:space="0" w:color="8EA9DB"/>
              <w:bottom w:val="single" w:sz="4" w:space="0" w:color="8EA9DB"/>
            </w:tcBorders>
          </w:tcPr>
          <w:p>
            <w:pPr>
              <w:pStyle w:val="TableParagraph"/>
              <w:ind w:right="96"/>
              <w:rPr>
                <w:sz w:val="22"/>
              </w:rPr>
            </w:pPr>
            <w:r>
              <w:rPr>
                <w:spacing w:val="-4"/>
                <w:sz w:val="22"/>
              </w:rPr>
              <w:t>83.5</w:t>
            </w:r>
          </w:p>
        </w:tc>
        <w:tc>
          <w:tcPr>
            <w:tcW w:w="1159" w:type="dxa"/>
            <w:tcBorders>
              <w:top w:val="single" w:sz="4" w:space="0" w:color="8EA9DB"/>
              <w:bottom w:val="single" w:sz="4" w:space="0" w:color="8EA9DB"/>
            </w:tcBorders>
          </w:tcPr>
          <w:p>
            <w:pPr>
              <w:pStyle w:val="TableParagraph"/>
              <w:rPr>
                <w:sz w:val="22"/>
              </w:rPr>
            </w:pPr>
            <w:r>
              <w:rPr>
                <w:spacing w:val="-4"/>
                <w:sz w:val="22"/>
              </w:rPr>
              <w:t>83.8</w:t>
            </w:r>
          </w:p>
        </w:tc>
        <w:tc>
          <w:tcPr>
            <w:tcW w:w="1159" w:type="dxa"/>
            <w:tcBorders>
              <w:top w:val="single" w:sz="4" w:space="0" w:color="8EA9DB"/>
              <w:bottom w:val="single" w:sz="4" w:space="0" w:color="8EA9DB"/>
            </w:tcBorders>
          </w:tcPr>
          <w:p>
            <w:pPr>
              <w:pStyle w:val="TableParagraph"/>
              <w:rPr>
                <w:sz w:val="22"/>
              </w:rPr>
            </w:pPr>
            <w:r>
              <w:rPr>
                <w:spacing w:val="-4"/>
                <w:sz w:val="22"/>
              </w:rPr>
              <w:t>82.9</w:t>
            </w:r>
          </w:p>
        </w:tc>
        <w:tc>
          <w:tcPr>
            <w:tcW w:w="1161" w:type="dxa"/>
            <w:tcBorders>
              <w:top w:val="single" w:sz="4" w:space="0" w:color="8EA9DB"/>
              <w:bottom w:val="single" w:sz="4" w:space="0" w:color="8EA9DB"/>
            </w:tcBorders>
          </w:tcPr>
          <w:p>
            <w:pPr>
              <w:pStyle w:val="TableParagraph"/>
              <w:ind w:right="95"/>
              <w:rPr>
                <w:sz w:val="22"/>
              </w:rPr>
            </w:pPr>
            <w:r>
              <w:rPr>
                <w:spacing w:val="-2"/>
                <w:sz w:val="22"/>
              </w:rPr>
              <w:t>-</w:t>
            </w:r>
            <w:r>
              <w:rPr>
                <w:spacing w:val="-5"/>
                <w:sz w:val="22"/>
              </w:rPr>
              <w:t>0.3</w:t>
            </w:r>
          </w:p>
        </w:tc>
        <w:tc>
          <w:tcPr>
            <w:tcW w:w="1159" w:type="dxa"/>
            <w:tcBorders>
              <w:top w:val="single" w:sz="4" w:space="0" w:color="8EA9DB"/>
              <w:bottom w:val="single" w:sz="4" w:space="0" w:color="8EA9DB"/>
            </w:tcBorders>
          </w:tcPr>
          <w:p>
            <w:pPr>
              <w:pStyle w:val="TableParagraph"/>
              <w:rPr>
                <w:sz w:val="22"/>
              </w:rPr>
            </w:pPr>
            <w:r>
              <w:rPr>
                <w:spacing w:val="-5"/>
                <w:sz w:val="22"/>
              </w:rPr>
              <w:t>0.6</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208" w:right="0"/>
              <w:jc w:val="left"/>
              <w:rPr>
                <w:sz w:val="22"/>
              </w:rPr>
            </w:pPr>
            <w:r>
              <w:rPr>
                <w:sz w:val="22"/>
              </w:rPr>
              <w:t>Service</w:t>
            </w:r>
            <w:r>
              <w:rPr>
                <w:spacing w:val="-8"/>
                <w:sz w:val="22"/>
              </w:rPr>
              <w:t> </w:t>
            </w:r>
            <w:r>
              <w:rPr>
                <w:spacing w:val="-2"/>
                <w:sz w:val="22"/>
              </w:rPr>
              <w:t>Providing</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2"/>
                <w:sz w:val="22"/>
              </w:rPr>
              <w:t>1131.2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1121.7</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1104.8</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9.5</w:t>
            </w:r>
          </w:p>
        </w:tc>
        <w:tc>
          <w:tcPr>
            <w:tcW w:w="1159" w:type="dxa"/>
            <w:tcBorders>
              <w:top w:val="single" w:sz="4" w:space="0" w:color="8EA9DB"/>
              <w:bottom w:val="single" w:sz="4" w:space="0" w:color="8EA9DB"/>
            </w:tcBorders>
            <w:shd w:val="clear" w:color="auto" w:fill="D9E0F1"/>
          </w:tcPr>
          <w:p>
            <w:pPr>
              <w:pStyle w:val="TableParagraph"/>
              <w:ind w:right="92"/>
              <w:rPr>
                <w:sz w:val="22"/>
              </w:rPr>
            </w:pPr>
            <w:r>
              <w:rPr>
                <w:spacing w:val="-4"/>
                <w:sz w:val="22"/>
              </w:rPr>
              <w:t>26.4</w:t>
            </w:r>
          </w:p>
        </w:tc>
      </w:tr>
      <w:tr>
        <w:trPr>
          <w:trHeight w:val="302" w:hRule="atLeast"/>
        </w:trPr>
        <w:tc>
          <w:tcPr>
            <w:tcW w:w="4879" w:type="dxa"/>
            <w:tcBorders>
              <w:top w:val="single" w:sz="4" w:space="0" w:color="8EA9DB"/>
              <w:bottom w:val="single" w:sz="4" w:space="0" w:color="8EA9DB"/>
            </w:tcBorders>
          </w:tcPr>
          <w:p>
            <w:pPr>
              <w:pStyle w:val="TableParagraph"/>
              <w:spacing w:before="32"/>
              <w:ind w:left="607" w:right="0"/>
              <w:jc w:val="left"/>
              <w:rPr>
                <w:b/>
                <w:sz w:val="22"/>
              </w:rPr>
            </w:pPr>
            <w:r>
              <w:rPr>
                <w:b/>
                <w:sz w:val="22"/>
              </w:rPr>
              <w:t>Trade,</w:t>
            </w:r>
            <w:r>
              <w:rPr>
                <w:b/>
                <w:spacing w:val="-5"/>
                <w:sz w:val="22"/>
              </w:rPr>
              <w:t> </w:t>
            </w:r>
            <w:r>
              <w:rPr>
                <w:b/>
                <w:sz w:val="22"/>
              </w:rPr>
              <w:t>Transportation,</w:t>
            </w:r>
            <w:r>
              <w:rPr>
                <w:b/>
                <w:spacing w:val="-5"/>
                <w:sz w:val="22"/>
              </w:rPr>
              <w:t> </w:t>
            </w:r>
            <w:r>
              <w:rPr>
                <w:b/>
                <w:sz w:val="22"/>
              </w:rPr>
              <w:t>&amp;</w:t>
            </w:r>
            <w:r>
              <w:rPr>
                <w:b/>
                <w:spacing w:val="-5"/>
                <w:sz w:val="22"/>
              </w:rPr>
              <w:t> </w:t>
            </w:r>
            <w:r>
              <w:rPr>
                <w:b/>
                <w:spacing w:val="-2"/>
                <w:sz w:val="22"/>
              </w:rPr>
              <w:t>Utilities</w:t>
            </w:r>
          </w:p>
        </w:tc>
        <w:tc>
          <w:tcPr>
            <w:tcW w:w="1161" w:type="dxa"/>
            <w:tcBorders>
              <w:top w:val="single" w:sz="4" w:space="0" w:color="8EA9DB"/>
              <w:bottom w:val="single" w:sz="4" w:space="0" w:color="8EA9DB"/>
            </w:tcBorders>
          </w:tcPr>
          <w:p>
            <w:pPr>
              <w:pStyle w:val="TableParagraph"/>
              <w:spacing w:before="32"/>
              <w:ind w:right="96"/>
              <w:rPr>
                <w:b/>
                <w:sz w:val="22"/>
              </w:rPr>
            </w:pPr>
            <w:r>
              <w:rPr>
                <w:b/>
                <w:spacing w:val="-2"/>
                <w:sz w:val="22"/>
              </w:rPr>
              <w:t>273.4</w:t>
            </w:r>
          </w:p>
        </w:tc>
        <w:tc>
          <w:tcPr>
            <w:tcW w:w="1159" w:type="dxa"/>
            <w:tcBorders>
              <w:top w:val="single" w:sz="4" w:space="0" w:color="8EA9DB"/>
              <w:bottom w:val="single" w:sz="4" w:space="0" w:color="8EA9DB"/>
            </w:tcBorders>
          </w:tcPr>
          <w:p>
            <w:pPr>
              <w:pStyle w:val="TableParagraph"/>
              <w:spacing w:before="32"/>
              <w:rPr>
                <w:b/>
                <w:sz w:val="22"/>
              </w:rPr>
            </w:pPr>
            <w:r>
              <w:rPr>
                <w:b/>
                <w:spacing w:val="-2"/>
                <w:sz w:val="22"/>
              </w:rPr>
              <w:t>274.7</w:t>
            </w:r>
          </w:p>
        </w:tc>
        <w:tc>
          <w:tcPr>
            <w:tcW w:w="1159" w:type="dxa"/>
            <w:tcBorders>
              <w:top w:val="single" w:sz="4" w:space="0" w:color="8EA9DB"/>
              <w:bottom w:val="single" w:sz="4" w:space="0" w:color="8EA9DB"/>
            </w:tcBorders>
          </w:tcPr>
          <w:p>
            <w:pPr>
              <w:pStyle w:val="TableParagraph"/>
              <w:spacing w:before="32"/>
              <w:rPr>
                <w:b/>
                <w:sz w:val="22"/>
              </w:rPr>
            </w:pPr>
            <w:r>
              <w:rPr>
                <w:b/>
                <w:spacing w:val="-2"/>
                <w:sz w:val="22"/>
              </w:rPr>
              <w:t>266.9</w:t>
            </w:r>
          </w:p>
        </w:tc>
        <w:tc>
          <w:tcPr>
            <w:tcW w:w="1161" w:type="dxa"/>
            <w:tcBorders>
              <w:top w:val="single" w:sz="4" w:space="0" w:color="8EA9DB"/>
              <w:bottom w:val="single" w:sz="4" w:space="0" w:color="8EA9DB"/>
            </w:tcBorders>
          </w:tcPr>
          <w:p>
            <w:pPr>
              <w:pStyle w:val="TableParagraph"/>
              <w:spacing w:before="32"/>
              <w:ind w:right="96"/>
              <w:rPr>
                <w:b/>
                <w:sz w:val="22"/>
              </w:rPr>
            </w:pPr>
            <w:r>
              <w:rPr>
                <w:b/>
                <w:spacing w:val="-2"/>
                <w:sz w:val="22"/>
              </w:rPr>
              <w:t>-</w:t>
            </w:r>
            <w:r>
              <w:rPr>
                <w:b/>
                <w:spacing w:val="-5"/>
                <w:sz w:val="22"/>
              </w:rPr>
              <w:t>1.3</w:t>
            </w:r>
          </w:p>
        </w:tc>
        <w:tc>
          <w:tcPr>
            <w:tcW w:w="1159" w:type="dxa"/>
            <w:tcBorders>
              <w:top w:val="single" w:sz="4" w:space="0" w:color="8EA9DB"/>
              <w:bottom w:val="single" w:sz="4" w:space="0" w:color="8EA9DB"/>
            </w:tcBorders>
          </w:tcPr>
          <w:p>
            <w:pPr>
              <w:pStyle w:val="TableParagraph"/>
              <w:spacing w:before="32"/>
              <w:rPr>
                <w:b/>
                <w:sz w:val="22"/>
              </w:rPr>
            </w:pPr>
            <w:r>
              <w:rPr>
                <w:b/>
                <w:spacing w:val="-5"/>
                <w:sz w:val="22"/>
              </w:rPr>
              <w:t>6.5</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854" w:right="0"/>
              <w:jc w:val="left"/>
              <w:rPr>
                <w:sz w:val="22"/>
              </w:rPr>
            </w:pPr>
            <w:r>
              <w:rPr>
                <w:sz w:val="22"/>
              </w:rPr>
              <w:t>Wholesale</w:t>
            </w:r>
            <w:r>
              <w:rPr>
                <w:spacing w:val="-8"/>
                <w:sz w:val="22"/>
              </w:rPr>
              <w:t> </w:t>
            </w:r>
            <w:r>
              <w:rPr>
                <w:spacing w:val="-2"/>
                <w:sz w:val="22"/>
              </w:rPr>
              <w:t>Trade</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54.1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53.6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50.0</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0.5</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4.1</w:t>
            </w:r>
          </w:p>
        </w:tc>
      </w:tr>
      <w:tr>
        <w:trPr>
          <w:trHeight w:val="299" w:hRule="atLeast"/>
        </w:trPr>
        <w:tc>
          <w:tcPr>
            <w:tcW w:w="4879" w:type="dxa"/>
            <w:tcBorders>
              <w:top w:val="single" w:sz="4" w:space="0" w:color="8EA9DB"/>
              <w:bottom w:val="single" w:sz="4" w:space="0" w:color="8EA9DB"/>
            </w:tcBorders>
          </w:tcPr>
          <w:p>
            <w:pPr>
              <w:pStyle w:val="TableParagraph"/>
              <w:ind w:left="856" w:right="0"/>
              <w:jc w:val="left"/>
              <w:rPr>
                <w:sz w:val="22"/>
              </w:rPr>
            </w:pPr>
            <w:r>
              <w:rPr>
                <w:sz w:val="22"/>
              </w:rPr>
              <w:t>Retail</w:t>
            </w:r>
            <w:r>
              <w:rPr>
                <w:spacing w:val="-8"/>
                <w:sz w:val="22"/>
              </w:rPr>
              <w:t> </w:t>
            </w:r>
            <w:r>
              <w:rPr>
                <w:spacing w:val="-2"/>
                <w:sz w:val="22"/>
              </w:rPr>
              <w:t>Trade</w:t>
            </w:r>
          </w:p>
        </w:tc>
        <w:tc>
          <w:tcPr>
            <w:tcW w:w="1161" w:type="dxa"/>
            <w:tcBorders>
              <w:top w:val="single" w:sz="4" w:space="0" w:color="8EA9DB"/>
              <w:bottom w:val="single" w:sz="4" w:space="0" w:color="8EA9DB"/>
            </w:tcBorders>
          </w:tcPr>
          <w:p>
            <w:pPr>
              <w:pStyle w:val="TableParagraph"/>
              <w:ind w:right="96"/>
              <w:rPr>
                <w:sz w:val="22"/>
              </w:rPr>
            </w:pPr>
            <w:r>
              <w:rPr>
                <w:spacing w:val="-2"/>
                <w:sz w:val="22"/>
              </w:rPr>
              <w:t>142.8</w:t>
            </w:r>
          </w:p>
        </w:tc>
        <w:tc>
          <w:tcPr>
            <w:tcW w:w="1159" w:type="dxa"/>
            <w:tcBorders>
              <w:top w:val="single" w:sz="4" w:space="0" w:color="8EA9DB"/>
              <w:bottom w:val="single" w:sz="4" w:space="0" w:color="8EA9DB"/>
            </w:tcBorders>
          </w:tcPr>
          <w:p>
            <w:pPr>
              <w:pStyle w:val="TableParagraph"/>
              <w:rPr>
                <w:sz w:val="22"/>
              </w:rPr>
            </w:pPr>
            <w:r>
              <w:rPr>
                <w:spacing w:val="-2"/>
                <w:sz w:val="22"/>
              </w:rPr>
              <w:t>144.0</w:t>
            </w:r>
          </w:p>
        </w:tc>
        <w:tc>
          <w:tcPr>
            <w:tcW w:w="1159" w:type="dxa"/>
            <w:tcBorders>
              <w:top w:val="single" w:sz="4" w:space="0" w:color="8EA9DB"/>
              <w:bottom w:val="single" w:sz="4" w:space="0" w:color="8EA9DB"/>
            </w:tcBorders>
          </w:tcPr>
          <w:p>
            <w:pPr>
              <w:pStyle w:val="TableParagraph"/>
              <w:rPr>
                <w:sz w:val="22"/>
              </w:rPr>
            </w:pPr>
            <w:r>
              <w:rPr>
                <w:spacing w:val="-2"/>
                <w:sz w:val="22"/>
              </w:rPr>
              <w:t>143.5</w:t>
            </w:r>
          </w:p>
        </w:tc>
        <w:tc>
          <w:tcPr>
            <w:tcW w:w="1161" w:type="dxa"/>
            <w:tcBorders>
              <w:top w:val="single" w:sz="4" w:space="0" w:color="8EA9DB"/>
              <w:bottom w:val="single" w:sz="4" w:space="0" w:color="8EA9DB"/>
            </w:tcBorders>
          </w:tcPr>
          <w:p>
            <w:pPr>
              <w:pStyle w:val="TableParagraph"/>
              <w:ind w:right="95"/>
              <w:rPr>
                <w:sz w:val="22"/>
              </w:rPr>
            </w:pPr>
            <w:r>
              <w:rPr>
                <w:spacing w:val="-2"/>
                <w:sz w:val="22"/>
              </w:rPr>
              <w:t>-</w:t>
            </w:r>
            <w:r>
              <w:rPr>
                <w:spacing w:val="-5"/>
                <w:sz w:val="22"/>
              </w:rPr>
              <w:t>1.2</w:t>
            </w:r>
          </w:p>
        </w:tc>
        <w:tc>
          <w:tcPr>
            <w:tcW w:w="1159" w:type="dxa"/>
            <w:tcBorders>
              <w:top w:val="single" w:sz="4" w:space="0" w:color="8EA9DB"/>
              <w:bottom w:val="single" w:sz="4" w:space="0" w:color="8EA9DB"/>
            </w:tcBorders>
          </w:tcPr>
          <w:p>
            <w:pPr>
              <w:pStyle w:val="TableParagraph"/>
              <w:rPr>
                <w:sz w:val="22"/>
              </w:rPr>
            </w:pPr>
            <w:r>
              <w:rPr>
                <w:spacing w:val="-2"/>
                <w:sz w:val="22"/>
              </w:rPr>
              <w:t>-</w:t>
            </w:r>
            <w:r>
              <w:rPr>
                <w:spacing w:val="-5"/>
                <w:sz w:val="22"/>
              </w:rPr>
              <w:t>0.7</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856" w:right="0"/>
              <w:jc w:val="left"/>
              <w:rPr>
                <w:sz w:val="22"/>
              </w:rPr>
            </w:pPr>
            <w:r>
              <w:rPr>
                <w:sz w:val="22"/>
              </w:rPr>
              <w:t>Transportation,</w:t>
            </w:r>
            <w:r>
              <w:rPr>
                <w:spacing w:val="-9"/>
                <w:sz w:val="22"/>
              </w:rPr>
              <w:t> </w:t>
            </w:r>
            <w:r>
              <w:rPr>
                <w:sz w:val="22"/>
              </w:rPr>
              <w:t>Warehousing,</w:t>
            </w:r>
            <w:r>
              <w:rPr>
                <w:spacing w:val="-8"/>
                <w:sz w:val="22"/>
              </w:rPr>
              <w:t> </w:t>
            </w:r>
            <w:r>
              <w:rPr>
                <w:sz w:val="22"/>
              </w:rPr>
              <w:t>&amp;</w:t>
            </w:r>
            <w:r>
              <w:rPr>
                <w:spacing w:val="-5"/>
                <w:sz w:val="22"/>
              </w:rPr>
              <w:t> </w:t>
            </w:r>
            <w:r>
              <w:rPr>
                <w:spacing w:val="-2"/>
                <w:sz w:val="22"/>
              </w:rPr>
              <w:t>Utilities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76.5</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77.1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73.4</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2"/>
                <w:sz w:val="22"/>
              </w:rPr>
              <w:t>-</w:t>
            </w:r>
            <w:r>
              <w:rPr>
                <w:spacing w:val="-5"/>
                <w:sz w:val="22"/>
              </w:rPr>
              <w:t>0.6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3.1</w:t>
            </w:r>
          </w:p>
        </w:tc>
      </w:tr>
      <w:tr>
        <w:trPr>
          <w:trHeight w:val="299" w:hRule="atLeast"/>
        </w:trPr>
        <w:tc>
          <w:tcPr>
            <w:tcW w:w="4879" w:type="dxa"/>
            <w:tcBorders>
              <w:top w:val="single" w:sz="4" w:space="0" w:color="8EA9DB"/>
              <w:bottom w:val="single" w:sz="4" w:space="0" w:color="8EA9DB"/>
            </w:tcBorders>
          </w:tcPr>
          <w:p>
            <w:pPr>
              <w:pStyle w:val="TableParagraph"/>
              <w:ind w:left="607" w:right="0"/>
              <w:jc w:val="left"/>
              <w:rPr>
                <w:b/>
                <w:sz w:val="22"/>
              </w:rPr>
            </w:pPr>
            <w:r>
              <w:rPr>
                <w:b/>
                <w:spacing w:val="-2"/>
                <w:sz w:val="22"/>
              </w:rPr>
              <w:t>Information</w:t>
            </w:r>
          </w:p>
        </w:tc>
        <w:tc>
          <w:tcPr>
            <w:tcW w:w="1161" w:type="dxa"/>
            <w:tcBorders>
              <w:top w:val="single" w:sz="4" w:space="0" w:color="8EA9DB"/>
              <w:bottom w:val="single" w:sz="4" w:space="0" w:color="8EA9DB"/>
            </w:tcBorders>
          </w:tcPr>
          <w:p>
            <w:pPr>
              <w:pStyle w:val="TableParagraph"/>
              <w:ind w:right="96"/>
              <w:rPr>
                <w:b/>
                <w:sz w:val="22"/>
              </w:rPr>
            </w:pPr>
            <w:r>
              <w:rPr>
                <w:b/>
                <w:spacing w:val="-4"/>
                <w:sz w:val="22"/>
              </w:rPr>
              <w:t>12.7</w:t>
            </w:r>
          </w:p>
        </w:tc>
        <w:tc>
          <w:tcPr>
            <w:tcW w:w="1159" w:type="dxa"/>
            <w:tcBorders>
              <w:top w:val="single" w:sz="4" w:space="0" w:color="8EA9DB"/>
              <w:bottom w:val="single" w:sz="4" w:space="0" w:color="8EA9DB"/>
            </w:tcBorders>
          </w:tcPr>
          <w:p>
            <w:pPr>
              <w:pStyle w:val="TableParagraph"/>
              <w:rPr>
                <w:b/>
                <w:sz w:val="22"/>
              </w:rPr>
            </w:pPr>
            <w:r>
              <w:rPr>
                <w:b/>
                <w:spacing w:val="-4"/>
                <w:sz w:val="22"/>
              </w:rPr>
              <w:t>12.5</w:t>
            </w:r>
          </w:p>
        </w:tc>
        <w:tc>
          <w:tcPr>
            <w:tcW w:w="1159" w:type="dxa"/>
            <w:tcBorders>
              <w:top w:val="single" w:sz="4" w:space="0" w:color="8EA9DB"/>
              <w:bottom w:val="single" w:sz="4" w:space="0" w:color="8EA9DB"/>
            </w:tcBorders>
          </w:tcPr>
          <w:p>
            <w:pPr>
              <w:pStyle w:val="TableParagraph"/>
              <w:rPr>
                <w:b/>
                <w:sz w:val="22"/>
              </w:rPr>
            </w:pPr>
            <w:r>
              <w:rPr>
                <w:b/>
                <w:spacing w:val="-4"/>
                <w:sz w:val="22"/>
              </w:rPr>
              <w:t>12.6</w:t>
            </w:r>
          </w:p>
        </w:tc>
        <w:tc>
          <w:tcPr>
            <w:tcW w:w="1161" w:type="dxa"/>
            <w:tcBorders>
              <w:top w:val="single" w:sz="4" w:space="0" w:color="8EA9DB"/>
              <w:bottom w:val="single" w:sz="4" w:space="0" w:color="8EA9DB"/>
            </w:tcBorders>
          </w:tcPr>
          <w:p>
            <w:pPr>
              <w:pStyle w:val="TableParagraph"/>
              <w:ind w:right="96"/>
              <w:rPr>
                <w:b/>
                <w:sz w:val="22"/>
              </w:rPr>
            </w:pPr>
            <w:r>
              <w:rPr>
                <w:b/>
                <w:spacing w:val="-5"/>
                <w:sz w:val="22"/>
              </w:rPr>
              <w:t>0.2</w:t>
            </w:r>
          </w:p>
        </w:tc>
        <w:tc>
          <w:tcPr>
            <w:tcW w:w="1159" w:type="dxa"/>
            <w:tcBorders>
              <w:top w:val="single" w:sz="4" w:space="0" w:color="8EA9DB"/>
              <w:bottom w:val="single" w:sz="4" w:space="0" w:color="8EA9DB"/>
            </w:tcBorders>
          </w:tcPr>
          <w:p>
            <w:pPr>
              <w:pStyle w:val="TableParagraph"/>
              <w:rPr>
                <w:b/>
                <w:sz w:val="22"/>
              </w:rPr>
            </w:pPr>
            <w:r>
              <w:rPr>
                <w:b/>
                <w:spacing w:val="-5"/>
                <w:sz w:val="22"/>
              </w:rPr>
              <w:t>0.1</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607" w:right="0"/>
              <w:jc w:val="left"/>
              <w:rPr>
                <w:b/>
                <w:sz w:val="22"/>
              </w:rPr>
            </w:pPr>
            <w:r>
              <w:rPr>
                <w:b/>
                <w:sz w:val="22"/>
              </w:rPr>
              <w:t>Financial</w:t>
            </w:r>
            <w:r>
              <w:rPr>
                <w:b/>
                <w:spacing w:val="-8"/>
                <w:sz w:val="22"/>
              </w:rPr>
              <w:t> </w:t>
            </w:r>
            <w:r>
              <w:rPr>
                <w:b/>
                <w:spacing w:val="-2"/>
                <w:sz w:val="22"/>
              </w:rPr>
              <w:t>Activities</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4"/>
                <w:sz w:val="22"/>
              </w:rPr>
              <w:t>70.3</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4"/>
                <w:sz w:val="22"/>
              </w:rPr>
              <w:t>69.2</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4"/>
                <w:sz w:val="22"/>
              </w:rPr>
              <w:t>70.1</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5"/>
                <w:sz w:val="22"/>
              </w:rPr>
              <w:t>1.1</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5"/>
                <w:sz w:val="22"/>
              </w:rPr>
              <w:t>0.2</w:t>
            </w:r>
          </w:p>
        </w:tc>
      </w:tr>
      <w:tr>
        <w:trPr>
          <w:trHeight w:val="301" w:hRule="atLeast"/>
        </w:trPr>
        <w:tc>
          <w:tcPr>
            <w:tcW w:w="4879" w:type="dxa"/>
            <w:tcBorders>
              <w:top w:val="single" w:sz="4" w:space="0" w:color="8EA9DB"/>
              <w:bottom w:val="single" w:sz="4" w:space="0" w:color="8EA9DB"/>
            </w:tcBorders>
          </w:tcPr>
          <w:p>
            <w:pPr>
              <w:pStyle w:val="TableParagraph"/>
              <w:spacing w:before="32"/>
              <w:ind w:left="907" w:right="0"/>
              <w:jc w:val="left"/>
              <w:rPr>
                <w:sz w:val="22"/>
              </w:rPr>
            </w:pPr>
            <w:r>
              <w:rPr>
                <w:sz w:val="22"/>
              </w:rPr>
              <w:t>Finance</w:t>
            </w:r>
            <w:r>
              <w:rPr>
                <w:spacing w:val="-6"/>
                <w:sz w:val="22"/>
              </w:rPr>
              <w:t> </w:t>
            </w:r>
            <w:r>
              <w:rPr>
                <w:sz w:val="22"/>
              </w:rPr>
              <w:t>&amp;</w:t>
            </w:r>
            <w:r>
              <w:rPr>
                <w:spacing w:val="-5"/>
                <w:sz w:val="22"/>
              </w:rPr>
              <w:t> </w:t>
            </w:r>
            <w:r>
              <w:rPr>
                <w:spacing w:val="-2"/>
                <w:sz w:val="22"/>
              </w:rPr>
              <w:t>Insurance</w:t>
            </w:r>
          </w:p>
        </w:tc>
        <w:tc>
          <w:tcPr>
            <w:tcW w:w="1161" w:type="dxa"/>
            <w:tcBorders>
              <w:top w:val="single" w:sz="4" w:space="0" w:color="8EA9DB"/>
              <w:bottom w:val="single" w:sz="4" w:space="0" w:color="8EA9DB"/>
            </w:tcBorders>
          </w:tcPr>
          <w:p>
            <w:pPr>
              <w:pStyle w:val="TableParagraph"/>
              <w:spacing w:before="32"/>
              <w:ind w:right="96"/>
              <w:rPr>
                <w:sz w:val="22"/>
              </w:rPr>
            </w:pPr>
            <w:r>
              <w:rPr>
                <w:spacing w:val="-4"/>
                <w:sz w:val="22"/>
              </w:rPr>
              <w:t>55.8</w:t>
            </w:r>
          </w:p>
        </w:tc>
        <w:tc>
          <w:tcPr>
            <w:tcW w:w="1159" w:type="dxa"/>
            <w:tcBorders>
              <w:top w:val="single" w:sz="4" w:space="0" w:color="8EA9DB"/>
              <w:bottom w:val="single" w:sz="4" w:space="0" w:color="8EA9DB"/>
            </w:tcBorders>
          </w:tcPr>
          <w:p>
            <w:pPr>
              <w:pStyle w:val="TableParagraph"/>
              <w:spacing w:before="32"/>
              <w:rPr>
                <w:sz w:val="22"/>
              </w:rPr>
            </w:pPr>
            <w:r>
              <w:rPr>
                <w:spacing w:val="-4"/>
                <w:sz w:val="22"/>
              </w:rPr>
              <w:t>55.1</w:t>
            </w:r>
          </w:p>
        </w:tc>
        <w:tc>
          <w:tcPr>
            <w:tcW w:w="1159" w:type="dxa"/>
            <w:tcBorders>
              <w:top w:val="single" w:sz="4" w:space="0" w:color="8EA9DB"/>
              <w:bottom w:val="single" w:sz="4" w:space="0" w:color="8EA9DB"/>
            </w:tcBorders>
          </w:tcPr>
          <w:p>
            <w:pPr>
              <w:pStyle w:val="TableParagraph"/>
              <w:spacing w:before="32"/>
              <w:rPr>
                <w:sz w:val="22"/>
              </w:rPr>
            </w:pPr>
            <w:r>
              <w:rPr>
                <w:spacing w:val="-4"/>
                <w:sz w:val="22"/>
              </w:rPr>
              <w:t>55.6</w:t>
            </w:r>
          </w:p>
        </w:tc>
        <w:tc>
          <w:tcPr>
            <w:tcW w:w="1161" w:type="dxa"/>
            <w:tcBorders>
              <w:top w:val="single" w:sz="4" w:space="0" w:color="8EA9DB"/>
              <w:bottom w:val="single" w:sz="4" w:space="0" w:color="8EA9DB"/>
            </w:tcBorders>
          </w:tcPr>
          <w:p>
            <w:pPr>
              <w:pStyle w:val="TableParagraph"/>
              <w:spacing w:before="32"/>
              <w:ind w:right="95"/>
              <w:rPr>
                <w:sz w:val="22"/>
              </w:rPr>
            </w:pPr>
            <w:r>
              <w:rPr>
                <w:spacing w:val="-5"/>
                <w:sz w:val="22"/>
              </w:rPr>
              <w:t>0.7</w:t>
            </w:r>
          </w:p>
        </w:tc>
        <w:tc>
          <w:tcPr>
            <w:tcW w:w="1159" w:type="dxa"/>
            <w:tcBorders>
              <w:top w:val="single" w:sz="4" w:space="0" w:color="8EA9DB"/>
              <w:bottom w:val="single" w:sz="4" w:space="0" w:color="8EA9DB"/>
            </w:tcBorders>
          </w:tcPr>
          <w:p>
            <w:pPr>
              <w:pStyle w:val="TableParagraph"/>
              <w:spacing w:before="32"/>
              <w:rPr>
                <w:sz w:val="22"/>
              </w:rPr>
            </w:pPr>
            <w:r>
              <w:rPr>
                <w:spacing w:val="-5"/>
                <w:sz w:val="22"/>
              </w:rPr>
              <w:t>0.2</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904" w:right="0"/>
              <w:jc w:val="left"/>
              <w:rPr>
                <w:sz w:val="22"/>
              </w:rPr>
            </w:pPr>
            <w:r>
              <w:rPr>
                <w:sz w:val="22"/>
              </w:rPr>
              <w:t>Real</w:t>
            </w:r>
            <w:r>
              <w:rPr>
                <w:spacing w:val="-6"/>
                <w:sz w:val="22"/>
              </w:rPr>
              <w:t> </w:t>
            </w:r>
            <w:r>
              <w:rPr>
                <w:sz w:val="22"/>
              </w:rPr>
              <w:t>Estate,</w:t>
            </w:r>
            <w:r>
              <w:rPr>
                <w:spacing w:val="-3"/>
                <w:sz w:val="22"/>
              </w:rPr>
              <w:t> </w:t>
            </w:r>
            <w:r>
              <w:rPr>
                <w:sz w:val="22"/>
              </w:rPr>
              <w:t>Rental,</w:t>
            </w:r>
            <w:r>
              <w:rPr>
                <w:spacing w:val="-4"/>
                <w:sz w:val="22"/>
              </w:rPr>
              <w:t> </w:t>
            </w:r>
            <w:r>
              <w:rPr>
                <w:sz w:val="22"/>
              </w:rPr>
              <w:t>&amp;</w:t>
            </w:r>
            <w:r>
              <w:rPr>
                <w:spacing w:val="-4"/>
                <w:sz w:val="22"/>
              </w:rPr>
              <w:t> </w:t>
            </w:r>
            <w:r>
              <w:rPr>
                <w:spacing w:val="-2"/>
                <w:sz w:val="22"/>
              </w:rPr>
              <w:t>Leasing</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14.5</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14.1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14.5</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0.4</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0.0</w:t>
            </w:r>
          </w:p>
        </w:tc>
      </w:tr>
      <w:tr>
        <w:trPr>
          <w:trHeight w:val="299" w:hRule="atLeast"/>
        </w:trPr>
        <w:tc>
          <w:tcPr>
            <w:tcW w:w="4879" w:type="dxa"/>
            <w:tcBorders>
              <w:top w:val="single" w:sz="4" w:space="0" w:color="8EA9DB"/>
              <w:bottom w:val="single" w:sz="4" w:space="0" w:color="8EA9DB"/>
            </w:tcBorders>
          </w:tcPr>
          <w:p>
            <w:pPr>
              <w:pStyle w:val="TableParagraph"/>
              <w:ind w:left="607" w:right="0"/>
              <w:jc w:val="left"/>
              <w:rPr>
                <w:b/>
                <w:sz w:val="22"/>
              </w:rPr>
            </w:pPr>
            <w:r>
              <w:rPr>
                <w:b/>
                <w:sz w:val="22"/>
              </w:rPr>
              <w:t>Professional</w:t>
            </w:r>
            <w:r>
              <w:rPr>
                <w:b/>
                <w:spacing w:val="-7"/>
                <w:sz w:val="22"/>
              </w:rPr>
              <w:t> </w:t>
            </w:r>
            <w:r>
              <w:rPr>
                <w:b/>
                <w:sz w:val="22"/>
              </w:rPr>
              <w:t>&amp;</w:t>
            </w:r>
            <w:r>
              <w:rPr>
                <w:b/>
                <w:spacing w:val="-7"/>
                <w:sz w:val="22"/>
              </w:rPr>
              <w:t> </w:t>
            </w:r>
            <w:r>
              <w:rPr>
                <w:b/>
                <w:sz w:val="22"/>
              </w:rPr>
              <w:t>Business</w:t>
            </w:r>
            <w:r>
              <w:rPr>
                <w:b/>
                <w:spacing w:val="-6"/>
                <w:sz w:val="22"/>
              </w:rPr>
              <w:t> </w:t>
            </w:r>
            <w:r>
              <w:rPr>
                <w:b/>
                <w:spacing w:val="-2"/>
                <w:sz w:val="22"/>
              </w:rPr>
              <w:t>Services</w:t>
            </w:r>
          </w:p>
        </w:tc>
        <w:tc>
          <w:tcPr>
            <w:tcW w:w="1161" w:type="dxa"/>
            <w:tcBorders>
              <w:top w:val="single" w:sz="4" w:space="0" w:color="8EA9DB"/>
              <w:bottom w:val="single" w:sz="4" w:space="0" w:color="8EA9DB"/>
            </w:tcBorders>
          </w:tcPr>
          <w:p>
            <w:pPr>
              <w:pStyle w:val="TableParagraph"/>
              <w:ind w:right="96"/>
              <w:rPr>
                <w:b/>
                <w:sz w:val="22"/>
              </w:rPr>
            </w:pPr>
            <w:r>
              <w:rPr>
                <w:b/>
                <w:spacing w:val="-2"/>
                <w:sz w:val="22"/>
              </w:rPr>
              <w:t>152.9</w:t>
            </w:r>
          </w:p>
        </w:tc>
        <w:tc>
          <w:tcPr>
            <w:tcW w:w="1159" w:type="dxa"/>
            <w:tcBorders>
              <w:top w:val="single" w:sz="4" w:space="0" w:color="8EA9DB"/>
              <w:bottom w:val="single" w:sz="4" w:space="0" w:color="8EA9DB"/>
            </w:tcBorders>
          </w:tcPr>
          <w:p>
            <w:pPr>
              <w:pStyle w:val="TableParagraph"/>
              <w:rPr>
                <w:b/>
                <w:sz w:val="22"/>
              </w:rPr>
            </w:pPr>
            <w:r>
              <w:rPr>
                <w:b/>
                <w:spacing w:val="-2"/>
                <w:sz w:val="22"/>
              </w:rPr>
              <w:t>151.8</w:t>
            </w:r>
          </w:p>
        </w:tc>
        <w:tc>
          <w:tcPr>
            <w:tcW w:w="1159" w:type="dxa"/>
            <w:tcBorders>
              <w:top w:val="single" w:sz="4" w:space="0" w:color="8EA9DB"/>
              <w:bottom w:val="single" w:sz="4" w:space="0" w:color="8EA9DB"/>
            </w:tcBorders>
          </w:tcPr>
          <w:p>
            <w:pPr>
              <w:pStyle w:val="TableParagraph"/>
              <w:rPr>
                <w:b/>
                <w:sz w:val="22"/>
              </w:rPr>
            </w:pPr>
            <w:r>
              <w:rPr>
                <w:b/>
                <w:spacing w:val="-2"/>
                <w:sz w:val="22"/>
              </w:rPr>
              <w:t>151.7</w:t>
            </w:r>
          </w:p>
        </w:tc>
        <w:tc>
          <w:tcPr>
            <w:tcW w:w="1161" w:type="dxa"/>
            <w:tcBorders>
              <w:top w:val="single" w:sz="4" w:space="0" w:color="8EA9DB"/>
              <w:bottom w:val="single" w:sz="4" w:space="0" w:color="8EA9DB"/>
            </w:tcBorders>
          </w:tcPr>
          <w:p>
            <w:pPr>
              <w:pStyle w:val="TableParagraph"/>
              <w:ind w:right="96"/>
              <w:rPr>
                <w:b/>
                <w:sz w:val="22"/>
              </w:rPr>
            </w:pPr>
            <w:r>
              <w:rPr>
                <w:b/>
                <w:spacing w:val="-5"/>
                <w:sz w:val="22"/>
              </w:rPr>
              <w:t>1.1</w:t>
            </w:r>
          </w:p>
        </w:tc>
        <w:tc>
          <w:tcPr>
            <w:tcW w:w="1159" w:type="dxa"/>
            <w:tcBorders>
              <w:top w:val="single" w:sz="4" w:space="0" w:color="8EA9DB"/>
              <w:bottom w:val="single" w:sz="4" w:space="0" w:color="8EA9DB"/>
            </w:tcBorders>
          </w:tcPr>
          <w:p>
            <w:pPr>
              <w:pStyle w:val="TableParagraph"/>
              <w:rPr>
                <w:b/>
                <w:sz w:val="22"/>
              </w:rPr>
            </w:pPr>
            <w:r>
              <w:rPr>
                <w:b/>
                <w:spacing w:val="-5"/>
                <w:sz w:val="22"/>
              </w:rPr>
              <w:t>1.2</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904" w:right="0"/>
              <w:jc w:val="left"/>
              <w:rPr>
                <w:sz w:val="22"/>
              </w:rPr>
            </w:pPr>
            <w:r>
              <w:rPr>
                <w:sz w:val="22"/>
              </w:rPr>
              <w:t>Professional,</w:t>
            </w:r>
            <w:r>
              <w:rPr>
                <w:spacing w:val="-8"/>
                <w:sz w:val="22"/>
              </w:rPr>
              <w:t> </w:t>
            </w:r>
            <w:r>
              <w:rPr>
                <w:sz w:val="22"/>
              </w:rPr>
              <w:t>Scientific,</w:t>
            </w:r>
            <w:r>
              <w:rPr>
                <w:spacing w:val="-6"/>
                <w:sz w:val="22"/>
              </w:rPr>
              <w:t> </w:t>
            </w:r>
            <w:r>
              <w:rPr>
                <w:sz w:val="22"/>
              </w:rPr>
              <w:t>&amp;</w:t>
            </w:r>
            <w:r>
              <w:rPr>
                <w:spacing w:val="-7"/>
                <w:sz w:val="22"/>
              </w:rPr>
              <w:t> </w:t>
            </w:r>
            <w:r>
              <w:rPr>
                <w:spacing w:val="-2"/>
                <w:sz w:val="22"/>
              </w:rPr>
              <w:t>Technical</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49.5</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48.7</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47.6</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0.8</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1.9</w:t>
            </w:r>
          </w:p>
        </w:tc>
      </w:tr>
      <w:tr>
        <w:trPr>
          <w:trHeight w:val="299" w:hRule="atLeast"/>
        </w:trPr>
        <w:tc>
          <w:tcPr>
            <w:tcW w:w="4879" w:type="dxa"/>
            <w:tcBorders>
              <w:top w:val="single" w:sz="4" w:space="0" w:color="8EA9DB"/>
              <w:bottom w:val="single" w:sz="4" w:space="0" w:color="8EA9DB"/>
            </w:tcBorders>
          </w:tcPr>
          <w:p>
            <w:pPr>
              <w:pStyle w:val="TableParagraph"/>
              <w:ind w:left="904" w:right="0"/>
              <w:jc w:val="left"/>
              <w:rPr>
                <w:sz w:val="22"/>
              </w:rPr>
            </w:pPr>
            <w:r>
              <w:rPr>
                <w:sz w:val="22"/>
              </w:rPr>
              <w:t>Management</w:t>
            </w:r>
            <w:r>
              <w:rPr>
                <w:spacing w:val="-5"/>
                <w:sz w:val="22"/>
              </w:rPr>
              <w:t> </w:t>
            </w:r>
            <w:r>
              <w:rPr>
                <w:sz w:val="22"/>
              </w:rPr>
              <w:t>of</w:t>
            </w:r>
            <w:r>
              <w:rPr>
                <w:spacing w:val="-5"/>
                <w:sz w:val="22"/>
              </w:rPr>
              <w:t> </w:t>
            </w:r>
            <w:r>
              <w:rPr>
                <w:spacing w:val="-2"/>
                <w:sz w:val="22"/>
              </w:rPr>
              <w:t>Companies</w:t>
            </w:r>
          </w:p>
        </w:tc>
        <w:tc>
          <w:tcPr>
            <w:tcW w:w="1161" w:type="dxa"/>
            <w:tcBorders>
              <w:top w:val="single" w:sz="4" w:space="0" w:color="8EA9DB"/>
              <w:bottom w:val="single" w:sz="4" w:space="0" w:color="8EA9DB"/>
            </w:tcBorders>
          </w:tcPr>
          <w:p>
            <w:pPr>
              <w:pStyle w:val="TableParagraph"/>
              <w:ind w:right="96"/>
              <w:rPr>
                <w:sz w:val="22"/>
              </w:rPr>
            </w:pPr>
            <w:r>
              <w:rPr>
                <w:spacing w:val="-4"/>
                <w:sz w:val="22"/>
              </w:rPr>
              <w:t>40.0</w:t>
            </w:r>
          </w:p>
        </w:tc>
        <w:tc>
          <w:tcPr>
            <w:tcW w:w="1159" w:type="dxa"/>
            <w:tcBorders>
              <w:top w:val="single" w:sz="4" w:space="0" w:color="8EA9DB"/>
              <w:bottom w:val="single" w:sz="4" w:space="0" w:color="8EA9DB"/>
            </w:tcBorders>
          </w:tcPr>
          <w:p>
            <w:pPr>
              <w:pStyle w:val="TableParagraph"/>
              <w:rPr>
                <w:sz w:val="22"/>
              </w:rPr>
            </w:pPr>
            <w:r>
              <w:rPr>
                <w:spacing w:val="-4"/>
                <w:sz w:val="22"/>
              </w:rPr>
              <w:t>40.4</w:t>
            </w:r>
          </w:p>
        </w:tc>
        <w:tc>
          <w:tcPr>
            <w:tcW w:w="1159" w:type="dxa"/>
            <w:tcBorders>
              <w:top w:val="single" w:sz="4" w:space="0" w:color="8EA9DB"/>
              <w:bottom w:val="single" w:sz="4" w:space="0" w:color="8EA9DB"/>
            </w:tcBorders>
          </w:tcPr>
          <w:p>
            <w:pPr>
              <w:pStyle w:val="TableParagraph"/>
              <w:rPr>
                <w:sz w:val="22"/>
              </w:rPr>
            </w:pPr>
            <w:r>
              <w:rPr>
                <w:spacing w:val="-4"/>
                <w:sz w:val="22"/>
              </w:rPr>
              <w:t>36.3</w:t>
            </w:r>
          </w:p>
        </w:tc>
        <w:tc>
          <w:tcPr>
            <w:tcW w:w="1161" w:type="dxa"/>
            <w:tcBorders>
              <w:top w:val="single" w:sz="4" w:space="0" w:color="8EA9DB"/>
              <w:bottom w:val="single" w:sz="4" w:space="0" w:color="8EA9DB"/>
            </w:tcBorders>
          </w:tcPr>
          <w:p>
            <w:pPr>
              <w:pStyle w:val="TableParagraph"/>
              <w:ind w:right="95"/>
              <w:rPr>
                <w:sz w:val="22"/>
              </w:rPr>
            </w:pPr>
            <w:r>
              <w:rPr>
                <w:spacing w:val="-2"/>
                <w:sz w:val="22"/>
              </w:rPr>
              <w:t>-</w:t>
            </w:r>
            <w:r>
              <w:rPr>
                <w:spacing w:val="-5"/>
                <w:sz w:val="22"/>
              </w:rPr>
              <w:t>0.4</w:t>
            </w:r>
          </w:p>
        </w:tc>
        <w:tc>
          <w:tcPr>
            <w:tcW w:w="1159" w:type="dxa"/>
            <w:tcBorders>
              <w:top w:val="single" w:sz="4" w:space="0" w:color="8EA9DB"/>
              <w:bottom w:val="single" w:sz="4" w:space="0" w:color="8EA9DB"/>
            </w:tcBorders>
          </w:tcPr>
          <w:p>
            <w:pPr>
              <w:pStyle w:val="TableParagraph"/>
              <w:rPr>
                <w:sz w:val="22"/>
              </w:rPr>
            </w:pPr>
            <w:r>
              <w:rPr>
                <w:spacing w:val="-5"/>
                <w:sz w:val="22"/>
              </w:rPr>
              <w:t>3.7</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907" w:right="0"/>
              <w:jc w:val="left"/>
              <w:rPr>
                <w:sz w:val="22"/>
              </w:rPr>
            </w:pPr>
            <w:r>
              <w:rPr>
                <w:sz w:val="22"/>
              </w:rPr>
              <w:t>Administrative</w:t>
            </w:r>
            <w:r>
              <w:rPr>
                <w:spacing w:val="-6"/>
                <w:sz w:val="22"/>
              </w:rPr>
              <w:t> </w:t>
            </w:r>
            <w:r>
              <w:rPr>
                <w:sz w:val="22"/>
              </w:rPr>
              <w:t>&amp;</w:t>
            </w:r>
            <w:r>
              <w:rPr>
                <w:spacing w:val="-10"/>
                <w:sz w:val="22"/>
              </w:rPr>
              <w:t> </w:t>
            </w:r>
            <w:r>
              <w:rPr>
                <w:sz w:val="22"/>
              </w:rPr>
              <w:t>Support</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63.4</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62.7</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67.8</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0.7</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w:t>
            </w:r>
            <w:r>
              <w:rPr>
                <w:spacing w:val="-5"/>
                <w:sz w:val="22"/>
              </w:rPr>
              <w:t>4.4</w:t>
            </w:r>
          </w:p>
        </w:tc>
      </w:tr>
      <w:tr>
        <w:trPr>
          <w:trHeight w:val="302" w:hRule="atLeast"/>
        </w:trPr>
        <w:tc>
          <w:tcPr>
            <w:tcW w:w="4879" w:type="dxa"/>
            <w:tcBorders>
              <w:top w:val="single" w:sz="4" w:space="0" w:color="8EA9DB"/>
              <w:bottom w:val="single" w:sz="4" w:space="0" w:color="8EA9DB"/>
            </w:tcBorders>
          </w:tcPr>
          <w:p>
            <w:pPr>
              <w:pStyle w:val="TableParagraph"/>
              <w:spacing w:before="32"/>
              <w:ind w:left="607" w:right="0"/>
              <w:jc w:val="left"/>
              <w:rPr>
                <w:b/>
                <w:sz w:val="22"/>
              </w:rPr>
            </w:pPr>
            <w:r>
              <w:rPr>
                <w:b/>
                <w:sz w:val="22"/>
              </w:rPr>
              <w:t>Private</w:t>
            </w:r>
            <w:r>
              <w:rPr>
                <w:b/>
                <w:spacing w:val="-6"/>
                <w:sz w:val="22"/>
              </w:rPr>
              <w:t> </w:t>
            </w:r>
            <w:r>
              <w:rPr>
                <w:b/>
                <w:sz w:val="22"/>
              </w:rPr>
              <w:t>Education</w:t>
            </w:r>
            <w:r>
              <w:rPr>
                <w:b/>
                <w:spacing w:val="-4"/>
                <w:sz w:val="22"/>
              </w:rPr>
              <w:t> </w:t>
            </w:r>
            <w:r>
              <w:rPr>
                <w:b/>
                <w:sz w:val="22"/>
              </w:rPr>
              <w:t>&amp;</w:t>
            </w:r>
            <w:r>
              <w:rPr>
                <w:b/>
                <w:spacing w:val="-5"/>
                <w:sz w:val="22"/>
              </w:rPr>
              <w:t> </w:t>
            </w:r>
            <w:r>
              <w:rPr>
                <w:b/>
                <w:sz w:val="22"/>
              </w:rPr>
              <w:t>Health</w:t>
            </w:r>
            <w:r>
              <w:rPr>
                <w:b/>
                <w:spacing w:val="-4"/>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before="32"/>
              <w:ind w:right="96"/>
              <w:rPr>
                <w:b/>
                <w:sz w:val="22"/>
              </w:rPr>
            </w:pPr>
            <w:r>
              <w:rPr>
                <w:b/>
                <w:spacing w:val="-2"/>
                <w:sz w:val="22"/>
              </w:rPr>
              <w:t>203.6</w:t>
            </w:r>
          </w:p>
        </w:tc>
        <w:tc>
          <w:tcPr>
            <w:tcW w:w="1159" w:type="dxa"/>
            <w:tcBorders>
              <w:top w:val="single" w:sz="4" w:space="0" w:color="8EA9DB"/>
              <w:bottom w:val="single" w:sz="4" w:space="0" w:color="8EA9DB"/>
            </w:tcBorders>
          </w:tcPr>
          <w:p>
            <w:pPr>
              <w:pStyle w:val="TableParagraph"/>
              <w:spacing w:before="32"/>
              <w:rPr>
                <w:b/>
                <w:sz w:val="22"/>
              </w:rPr>
            </w:pPr>
            <w:r>
              <w:rPr>
                <w:b/>
                <w:spacing w:val="-2"/>
                <w:sz w:val="22"/>
              </w:rPr>
              <w:t>203.6</w:t>
            </w:r>
          </w:p>
        </w:tc>
        <w:tc>
          <w:tcPr>
            <w:tcW w:w="1159" w:type="dxa"/>
            <w:tcBorders>
              <w:top w:val="single" w:sz="4" w:space="0" w:color="8EA9DB"/>
              <w:bottom w:val="single" w:sz="4" w:space="0" w:color="8EA9DB"/>
            </w:tcBorders>
          </w:tcPr>
          <w:p>
            <w:pPr>
              <w:pStyle w:val="TableParagraph"/>
              <w:spacing w:before="32"/>
              <w:rPr>
                <w:b/>
                <w:sz w:val="22"/>
              </w:rPr>
            </w:pPr>
            <w:r>
              <w:rPr>
                <w:b/>
                <w:spacing w:val="-2"/>
                <w:sz w:val="22"/>
              </w:rPr>
              <w:t>197.9</w:t>
            </w:r>
          </w:p>
        </w:tc>
        <w:tc>
          <w:tcPr>
            <w:tcW w:w="1161" w:type="dxa"/>
            <w:tcBorders>
              <w:top w:val="single" w:sz="4" w:space="0" w:color="8EA9DB"/>
              <w:bottom w:val="single" w:sz="4" w:space="0" w:color="8EA9DB"/>
            </w:tcBorders>
          </w:tcPr>
          <w:p>
            <w:pPr>
              <w:pStyle w:val="TableParagraph"/>
              <w:spacing w:before="32"/>
              <w:ind w:right="96"/>
              <w:rPr>
                <w:b/>
                <w:sz w:val="22"/>
              </w:rPr>
            </w:pPr>
            <w:r>
              <w:rPr>
                <w:b/>
                <w:spacing w:val="-5"/>
                <w:sz w:val="22"/>
              </w:rPr>
              <w:t>0.0</w:t>
            </w:r>
          </w:p>
        </w:tc>
        <w:tc>
          <w:tcPr>
            <w:tcW w:w="1159" w:type="dxa"/>
            <w:tcBorders>
              <w:top w:val="single" w:sz="4" w:space="0" w:color="8EA9DB"/>
              <w:bottom w:val="single" w:sz="4" w:space="0" w:color="8EA9DB"/>
            </w:tcBorders>
          </w:tcPr>
          <w:p>
            <w:pPr>
              <w:pStyle w:val="TableParagraph"/>
              <w:spacing w:before="32"/>
              <w:rPr>
                <w:b/>
                <w:sz w:val="22"/>
              </w:rPr>
            </w:pPr>
            <w:r>
              <w:rPr>
                <w:b/>
                <w:spacing w:val="-5"/>
                <w:sz w:val="22"/>
              </w:rPr>
              <w:t>5.7</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904" w:right="0"/>
              <w:jc w:val="left"/>
              <w:rPr>
                <w:sz w:val="22"/>
              </w:rPr>
            </w:pPr>
            <w:r>
              <w:rPr>
                <w:sz w:val="22"/>
              </w:rPr>
              <w:t>Educational</w:t>
            </w:r>
            <w:r>
              <w:rPr>
                <w:spacing w:val="-7"/>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19.2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19.2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18.2</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1.0</w:t>
            </w:r>
          </w:p>
        </w:tc>
      </w:tr>
      <w:tr>
        <w:trPr>
          <w:trHeight w:val="299" w:hRule="atLeast"/>
        </w:trPr>
        <w:tc>
          <w:tcPr>
            <w:tcW w:w="4879" w:type="dxa"/>
            <w:tcBorders>
              <w:top w:val="single" w:sz="4" w:space="0" w:color="8EA9DB"/>
              <w:bottom w:val="single" w:sz="4" w:space="0" w:color="8EA9DB"/>
            </w:tcBorders>
          </w:tcPr>
          <w:p>
            <w:pPr>
              <w:pStyle w:val="TableParagraph"/>
              <w:ind w:left="907" w:right="0"/>
              <w:jc w:val="left"/>
              <w:rPr>
                <w:sz w:val="22"/>
              </w:rPr>
            </w:pPr>
            <w:r>
              <w:rPr>
                <w:sz w:val="22"/>
              </w:rPr>
              <w:t>Health</w:t>
            </w:r>
            <w:r>
              <w:rPr>
                <w:spacing w:val="-6"/>
                <w:sz w:val="22"/>
              </w:rPr>
              <w:t> </w:t>
            </w:r>
            <w:r>
              <w:rPr>
                <w:sz w:val="22"/>
              </w:rPr>
              <w:t>Care</w:t>
            </w:r>
            <w:r>
              <w:rPr>
                <w:spacing w:val="-4"/>
                <w:sz w:val="22"/>
              </w:rPr>
              <w:t> </w:t>
            </w:r>
            <w:r>
              <w:rPr>
                <w:sz w:val="22"/>
              </w:rPr>
              <w:t>&amp;</w:t>
            </w:r>
            <w:r>
              <w:rPr>
                <w:spacing w:val="-6"/>
                <w:sz w:val="22"/>
              </w:rPr>
              <w:t> </w:t>
            </w:r>
            <w:r>
              <w:rPr>
                <w:sz w:val="22"/>
              </w:rPr>
              <w:t>Social</w:t>
            </w:r>
            <w:r>
              <w:rPr>
                <w:spacing w:val="-4"/>
                <w:sz w:val="22"/>
              </w:rPr>
              <w:t> </w:t>
            </w:r>
            <w:r>
              <w:rPr>
                <w:spacing w:val="-2"/>
                <w:sz w:val="22"/>
              </w:rPr>
              <w:t>Assistance</w:t>
            </w:r>
          </w:p>
        </w:tc>
        <w:tc>
          <w:tcPr>
            <w:tcW w:w="1161" w:type="dxa"/>
            <w:tcBorders>
              <w:top w:val="single" w:sz="4" w:space="0" w:color="8EA9DB"/>
              <w:bottom w:val="single" w:sz="4" w:space="0" w:color="8EA9DB"/>
            </w:tcBorders>
          </w:tcPr>
          <w:p>
            <w:pPr>
              <w:pStyle w:val="TableParagraph"/>
              <w:ind w:right="96"/>
              <w:rPr>
                <w:sz w:val="22"/>
              </w:rPr>
            </w:pPr>
            <w:r>
              <w:rPr>
                <w:spacing w:val="-2"/>
                <w:sz w:val="22"/>
              </w:rPr>
              <w:t>184.4</w:t>
            </w:r>
          </w:p>
        </w:tc>
        <w:tc>
          <w:tcPr>
            <w:tcW w:w="1159" w:type="dxa"/>
            <w:tcBorders>
              <w:top w:val="single" w:sz="4" w:space="0" w:color="8EA9DB"/>
              <w:bottom w:val="single" w:sz="4" w:space="0" w:color="8EA9DB"/>
            </w:tcBorders>
          </w:tcPr>
          <w:p>
            <w:pPr>
              <w:pStyle w:val="TableParagraph"/>
              <w:rPr>
                <w:sz w:val="22"/>
              </w:rPr>
            </w:pPr>
            <w:r>
              <w:rPr>
                <w:spacing w:val="-2"/>
                <w:sz w:val="22"/>
              </w:rPr>
              <w:t>184.4</w:t>
            </w:r>
          </w:p>
        </w:tc>
        <w:tc>
          <w:tcPr>
            <w:tcW w:w="1159" w:type="dxa"/>
            <w:tcBorders>
              <w:top w:val="single" w:sz="4" w:space="0" w:color="8EA9DB"/>
              <w:bottom w:val="single" w:sz="4" w:space="0" w:color="8EA9DB"/>
            </w:tcBorders>
          </w:tcPr>
          <w:p>
            <w:pPr>
              <w:pStyle w:val="TableParagraph"/>
              <w:rPr>
                <w:sz w:val="22"/>
              </w:rPr>
            </w:pPr>
            <w:r>
              <w:rPr>
                <w:spacing w:val="-2"/>
                <w:sz w:val="22"/>
              </w:rPr>
              <w:t>179.7</w:t>
            </w:r>
          </w:p>
        </w:tc>
        <w:tc>
          <w:tcPr>
            <w:tcW w:w="1161" w:type="dxa"/>
            <w:tcBorders>
              <w:top w:val="single" w:sz="4" w:space="0" w:color="8EA9DB"/>
              <w:bottom w:val="single" w:sz="4" w:space="0" w:color="8EA9DB"/>
            </w:tcBorders>
          </w:tcPr>
          <w:p>
            <w:pPr>
              <w:pStyle w:val="TableParagraph"/>
              <w:ind w:right="95"/>
              <w:rPr>
                <w:sz w:val="22"/>
              </w:rPr>
            </w:pPr>
            <w:r>
              <w:rPr>
                <w:spacing w:val="-5"/>
                <w:sz w:val="22"/>
              </w:rPr>
              <w:t>0.0</w:t>
            </w:r>
          </w:p>
        </w:tc>
        <w:tc>
          <w:tcPr>
            <w:tcW w:w="1159" w:type="dxa"/>
            <w:tcBorders>
              <w:top w:val="single" w:sz="4" w:space="0" w:color="8EA9DB"/>
              <w:bottom w:val="single" w:sz="4" w:space="0" w:color="8EA9DB"/>
            </w:tcBorders>
          </w:tcPr>
          <w:p>
            <w:pPr>
              <w:pStyle w:val="TableParagraph"/>
              <w:rPr>
                <w:sz w:val="22"/>
              </w:rPr>
            </w:pPr>
            <w:r>
              <w:rPr>
                <w:spacing w:val="-5"/>
                <w:sz w:val="22"/>
              </w:rPr>
              <w:t>4.7</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1106" w:right="0"/>
              <w:jc w:val="left"/>
              <w:rPr>
                <w:sz w:val="22"/>
              </w:rPr>
            </w:pPr>
            <w:r>
              <w:rPr>
                <w:sz w:val="22"/>
              </w:rPr>
              <w:t>Ambulatory</w:t>
            </w:r>
            <w:r>
              <w:rPr>
                <w:spacing w:val="-8"/>
                <w:sz w:val="22"/>
              </w:rPr>
              <w:t> </w:t>
            </w:r>
            <w:r>
              <w:rPr>
                <w:sz w:val="22"/>
              </w:rPr>
              <w:t>Health</w:t>
            </w:r>
            <w:r>
              <w:rPr>
                <w:spacing w:val="-8"/>
                <w:sz w:val="22"/>
              </w:rPr>
              <w:t> </w:t>
            </w:r>
            <w:r>
              <w:rPr>
                <w:spacing w:val="-4"/>
                <w:sz w:val="22"/>
              </w:rPr>
              <w:t>Care</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64.7</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64.1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62.1</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2.6</w:t>
            </w:r>
          </w:p>
        </w:tc>
      </w:tr>
      <w:tr>
        <w:trPr>
          <w:trHeight w:val="299" w:hRule="atLeast"/>
        </w:trPr>
        <w:tc>
          <w:tcPr>
            <w:tcW w:w="4879" w:type="dxa"/>
            <w:tcBorders>
              <w:top w:val="single" w:sz="4" w:space="0" w:color="8EA9DB"/>
              <w:bottom w:val="single" w:sz="4" w:space="0" w:color="8EA9DB"/>
            </w:tcBorders>
          </w:tcPr>
          <w:p>
            <w:pPr>
              <w:pStyle w:val="TableParagraph"/>
              <w:ind w:left="1106" w:right="0"/>
              <w:jc w:val="left"/>
              <w:rPr>
                <w:sz w:val="22"/>
              </w:rPr>
            </w:pPr>
            <w:r>
              <w:rPr>
                <w:sz w:val="22"/>
              </w:rPr>
              <w:t>Social</w:t>
            </w:r>
            <w:r>
              <w:rPr>
                <w:spacing w:val="-8"/>
                <w:sz w:val="22"/>
              </w:rPr>
              <w:t> </w:t>
            </w:r>
            <w:r>
              <w:rPr>
                <w:spacing w:val="-2"/>
                <w:sz w:val="22"/>
              </w:rPr>
              <w:t>Assistance</w:t>
            </w:r>
          </w:p>
        </w:tc>
        <w:tc>
          <w:tcPr>
            <w:tcW w:w="1161" w:type="dxa"/>
            <w:tcBorders>
              <w:top w:val="single" w:sz="4" w:space="0" w:color="8EA9DB"/>
              <w:bottom w:val="single" w:sz="4" w:space="0" w:color="8EA9DB"/>
            </w:tcBorders>
          </w:tcPr>
          <w:p>
            <w:pPr>
              <w:pStyle w:val="TableParagraph"/>
              <w:ind w:right="96"/>
              <w:rPr>
                <w:sz w:val="22"/>
              </w:rPr>
            </w:pPr>
            <w:r>
              <w:rPr>
                <w:spacing w:val="-4"/>
                <w:sz w:val="22"/>
              </w:rPr>
              <w:t>37.3</w:t>
            </w:r>
          </w:p>
        </w:tc>
        <w:tc>
          <w:tcPr>
            <w:tcW w:w="1159" w:type="dxa"/>
            <w:tcBorders>
              <w:top w:val="single" w:sz="4" w:space="0" w:color="8EA9DB"/>
              <w:bottom w:val="single" w:sz="4" w:space="0" w:color="8EA9DB"/>
            </w:tcBorders>
          </w:tcPr>
          <w:p>
            <w:pPr>
              <w:pStyle w:val="TableParagraph"/>
              <w:rPr>
                <w:sz w:val="22"/>
              </w:rPr>
            </w:pPr>
            <w:r>
              <w:rPr>
                <w:spacing w:val="-4"/>
                <w:sz w:val="22"/>
              </w:rPr>
              <w:t>37.4</w:t>
            </w:r>
          </w:p>
        </w:tc>
        <w:tc>
          <w:tcPr>
            <w:tcW w:w="1159" w:type="dxa"/>
            <w:tcBorders>
              <w:top w:val="single" w:sz="4" w:space="0" w:color="8EA9DB"/>
              <w:bottom w:val="single" w:sz="4" w:space="0" w:color="8EA9DB"/>
            </w:tcBorders>
          </w:tcPr>
          <w:p>
            <w:pPr>
              <w:pStyle w:val="TableParagraph"/>
              <w:rPr>
                <w:sz w:val="22"/>
              </w:rPr>
            </w:pPr>
            <w:r>
              <w:rPr>
                <w:spacing w:val="-4"/>
                <w:sz w:val="22"/>
              </w:rPr>
              <w:t>37.1</w:t>
            </w:r>
          </w:p>
        </w:tc>
        <w:tc>
          <w:tcPr>
            <w:tcW w:w="1161" w:type="dxa"/>
            <w:tcBorders>
              <w:top w:val="single" w:sz="4" w:space="0" w:color="8EA9DB"/>
              <w:bottom w:val="single" w:sz="4" w:space="0" w:color="8EA9DB"/>
            </w:tcBorders>
          </w:tcPr>
          <w:p>
            <w:pPr>
              <w:pStyle w:val="TableParagraph"/>
              <w:ind w:right="95"/>
              <w:rPr>
                <w:sz w:val="22"/>
              </w:rPr>
            </w:pPr>
            <w:r>
              <w:rPr>
                <w:spacing w:val="-2"/>
                <w:sz w:val="22"/>
              </w:rPr>
              <w:t>-</w:t>
            </w:r>
            <w:r>
              <w:rPr>
                <w:spacing w:val="-5"/>
                <w:sz w:val="22"/>
              </w:rPr>
              <w:t>0.1</w:t>
            </w:r>
          </w:p>
        </w:tc>
        <w:tc>
          <w:tcPr>
            <w:tcW w:w="1159" w:type="dxa"/>
            <w:tcBorders>
              <w:top w:val="single" w:sz="4" w:space="0" w:color="8EA9DB"/>
              <w:bottom w:val="single" w:sz="4" w:space="0" w:color="8EA9DB"/>
            </w:tcBorders>
          </w:tcPr>
          <w:p>
            <w:pPr>
              <w:pStyle w:val="TableParagraph"/>
              <w:rPr>
                <w:sz w:val="22"/>
              </w:rPr>
            </w:pPr>
            <w:r>
              <w:rPr>
                <w:spacing w:val="-5"/>
                <w:sz w:val="22"/>
              </w:rPr>
              <w:t>0.2</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657" w:right="0"/>
              <w:jc w:val="left"/>
              <w:rPr>
                <w:b/>
                <w:sz w:val="22"/>
              </w:rPr>
            </w:pPr>
            <w:r>
              <w:rPr>
                <w:b/>
                <w:sz w:val="22"/>
              </w:rPr>
              <w:t>Leisure</w:t>
            </w:r>
            <w:r>
              <w:rPr>
                <w:b/>
                <w:spacing w:val="-8"/>
                <w:sz w:val="22"/>
              </w:rPr>
              <w:t> </w:t>
            </w:r>
            <w:r>
              <w:rPr>
                <w:b/>
                <w:sz w:val="22"/>
              </w:rPr>
              <w:t>&amp;</w:t>
            </w:r>
            <w:r>
              <w:rPr>
                <w:b/>
                <w:spacing w:val="-1"/>
                <w:sz w:val="22"/>
              </w:rPr>
              <w:t> </w:t>
            </w:r>
            <w:r>
              <w:rPr>
                <w:b/>
                <w:spacing w:val="-2"/>
                <w:sz w:val="22"/>
              </w:rPr>
              <w:t>Hospitality</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2"/>
                <w:sz w:val="22"/>
              </w:rPr>
              <w:t>131.6</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2"/>
                <w:sz w:val="22"/>
              </w:rPr>
              <w:t>124.7</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2"/>
                <w:sz w:val="22"/>
              </w:rPr>
              <w:t>122.5</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5"/>
                <w:sz w:val="22"/>
              </w:rPr>
              <w:t>6.9</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5"/>
                <w:sz w:val="22"/>
              </w:rPr>
              <w:t>9.1</w:t>
            </w:r>
          </w:p>
        </w:tc>
      </w:tr>
      <w:tr>
        <w:trPr>
          <w:trHeight w:val="301" w:hRule="atLeast"/>
        </w:trPr>
        <w:tc>
          <w:tcPr>
            <w:tcW w:w="4879" w:type="dxa"/>
            <w:tcBorders>
              <w:top w:val="single" w:sz="4" w:space="0" w:color="8EA9DB"/>
              <w:bottom w:val="single" w:sz="4" w:space="0" w:color="8EA9DB"/>
            </w:tcBorders>
          </w:tcPr>
          <w:p>
            <w:pPr>
              <w:pStyle w:val="TableParagraph"/>
              <w:spacing w:before="32"/>
              <w:ind w:left="955" w:right="0"/>
              <w:jc w:val="left"/>
              <w:rPr>
                <w:sz w:val="22"/>
              </w:rPr>
            </w:pPr>
            <w:r>
              <w:rPr>
                <w:sz w:val="22"/>
              </w:rPr>
              <w:t>Arts,</w:t>
            </w:r>
            <w:r>
              <w:rPr>
                <w:spacing w:val="-7"/>
                <w:sz w:val="22"/>
              </w:rPr>
              <w:t> </w:t>
            </w:r>
            <w:r>
              <w:rPr>
                <w:sz w:val="22"/>
              </w:rPr>
              <w:t>Entertainment,</w:t>
            </w:r>
            <w:r>
              <w:rPr>
                <w:spacing w:val="-5"/>
                <w:sz w:val="22"/>
              </w:rPr>
              <w:t> </w:t>
            </w:r>
            <w:r>
              <w:rPr>
                <w:sz w:val="22"/>
              </w:rPr>
              <w:t>&amp;</w:t>
            </w:r>
            <w:r>
              <w:rPr>
                <w:spacing w:val="-3"/>
                <w:sz w:val="22"/>
              </w:rPr>
              <w:t> </w:t>
            </w:r>
            <w:r>
              <w:rPr>
                <w:spacing w:val="-2"/>
                <w:sz w:val="22"/>
              </w:rPr>
              <w:t>Recreation</w:t>
            </w:r>
          </w:p>
        </w:tc>
        <w:tc>
          <w:tcPr>
            <w:tcW w:w="1161" w:type="dxa"/>
            <w:tcBorders>
              <w:top w:val="single" w:sz="4" w:space="0" w:color="8EA9DB"/>
              <w:bottom w:val="single" w:sz="4" w:space="0" w:color="8EA9DB"/>
            </w:tcBorders>
          </w:tcPr>
          <w:p>
            <w:pPr>
              <w:pStyle w:val="TableParagraph"/>
              <w:spacing w:before="32"/>
              <w:ind w:right="96"/>
              <w:rPr>
                <w:sz w:val="22"/>
              </w:rPr>
            </w:pPr>
            <w:r>
              <w:rPr>
                <w:spacing w:val="-4"/>
                <w:sz w:val="22"/>
              </w:rPr>
              <w:t>13.7</w:t>
            </w:r>
          </w:p>
        </w:tc>
        <w:tc>
          <w:tcPr>
            <w:tcW w:w="1159" w:type="dxa"/>
            <w:tcBorders>
              <w:top w:val="single" w:sz="4" w:space="0" w:color="8EA9DB"/>
              <w:bottom w:val="single" w:sz="4" w:space="0" w:color="8EA9DB"/>
            </w:tcBorders>
          </w:tcPr>
          <w:p>
            <w:pPr>
              <w:pStyle w:val="TableParagraph"/>
              <w:spacing w:before="32"/>
              <w:rPr>
                <w:sz w:val="22"/>
              </w:rPr>
            </w:pPr>
            <w:r>
              <w:rPr>
                <w:spacing w:val="-4"/>
                <w:sz w:val="22"/>
              </w:rPr>
              <w:t>12.8</w:t>
            </w:r>
          </w:p>
        </w:tc>
        <w:tc>
          <w:tcPr>
            <w:tcW w:w="1159" w:type="dxa"/>
            <w:tcBorders>
              <w:top w:val="single" w:sz="4" w:space="0" w:color="8EA9DB"/>
              <w:bottom w:val="single" w:sz="4" w:space="0" w:color="8EA9DB"/>
            </w:tcBorders>
          </w:tcPr>
          <w:p>
            <w:pPr>
              <w:pStyle w:val="TableParagraph"/>
              <w:spacing w:before="32"/>
              <w:rPr>
                <w:sz w:val="22"/>
              </w:rPr>
            </w:pPr>
            <w:r>
              <w:rPr>
                <w:spacing w:val="-4"/>
                <w:sz w:val="22"/>
              </w:rPr>
              <w:t>13.2</w:t>
            </w:r>
          </w:p>
        </w:tc>
        <w:tc>
          <w:tcPr>
            <w:tcW w:w="1161" w:type="dxa"/>
            <w:tcBorders>
              <w:top w:val="single" w:sz="4" w:space="0" w:color="8EA9DB"/>
              <w:bottom w:val="single" w:sz="4" w:space="0" w:color="8EA9DB"/>
            </w:tcBorders>
          </w:tcPr>
          <w:p>
            <w:pPr>
              <w:pStyle w:val="TableParagraph"/>
              <w:spacing w:before="32"/>
              <w:ind w:right="95"/>
              <w:rPr>
                <w:sz w:val="22"/>
              </w:rPr>
            </w:pPr>
            <w:r>
              <w:rPr>
                <w:spacing w:val="-5"/>
                <w:sz w:val="22"/>
              </w:rPr>
              <w:t>0.9</w:t>
            </w:r>
          </w:p>
        </w:tc>
        <w:tc>
          <w:tcPr>
            <w:tcW w:w="1159" w:type="dxa"/>
            <w:tcBorders>
              <w:top w:val="single" w:sz="4" w:space="0" w:color="8EA9DB"/>
              <w:bottom w:val="single" w:sz="4" w:space="0" w:color="8EA9DB"/>
            </w:tcBorders>
          </w:tcPr>
          <w:p>
            <w:pPr>
              <w:pStyle w:val="TableParagraph"/>
              <w:spacing w:before="32"/>
              <w:rPr>
                <w:sz w:val="22"/>
              </w:rPr>
            </w:pPr>
            <w:r>
              <w:rPr>
                <w:spacing w:val="-5"/>
                <w:sz w:val="22"/>
              </w:rPr>
              <w:t>0.5</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955" w:right="0"/>
              <w:jc w:val="left"/>
              <w:rPr>
                <w:sz w:val="22"/>
              </w:rPr>
            </w:pPr>
            <w:r>
              <w:rPr>
                <w:sz w:val="22"/>
              </w:rPr>
              <w:t>Accommodation</w:t>
            </w:r>
            <w:r>
              <w:rPr>
                <w:spacing w:val="-7"/>
                <w:sz w:val="22"/>
              </w:rPr>
              <w:t> </w:t>
            </w:r>
            <w:r>
              <w:rPr>
                <w:sz w:val="22"/>
              </w:rPr>
              <w:t>&amp;</w:t>
            </w:r>
            <w:r>
              <w:rPr>
                <w:spacing w:val="-3"/>
                <w:sz w:val="22"/>
              </w:rPr>
              <w:t> </w:t>
            </w:r>
            <w:r>
              <w:rPr>
                <w:sz w:val="22"/>
              </w:rPr>
              <w:t>Food</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2"/>
                <w:sz w:val="22"/>
              </w:rPr>
              <w:t>117.9</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111.9</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109.3</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6.0</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8.6</w:t>
            </w:r>
          </w:p>
        </w:tc>
      </w:tr>
      <w:tr>
        <w:trPr>
          <w:trHeight w:val="299" w:hRule="atLeast"/>
        </w:trPr>
        <w:tc>
          <w:tcPr>
            <w:tcW w:w="4879" w:type="dxa"/>
            <w:tcBorders>
              <w:top w:val="single" w:sz="4" w:space="0" w:color="8EA9DB"/>
              <w:bottom w:val="single" w:sz="4" w:space="0" w:color="8EA9DB"/>
            </w:tcBorders>
          </w:tcPr>
          <w:p>
            <w:pPr>
              <w:pStyle w:val="TableParagraph"/>
              <w:ind w:left="1154" w:right="0"/>
              <w:jc w:val="left"/>
              <w:rPr>
                <w:sz w:val="22"/>
              </w:rPr>
            </w:pPr>
            <w:r>
              <w:rPr>
                <w:spacing w:val="-2"/>
                <w:sz w:val="22"/>
              </w:rPr>
              <w:t>Accommodation</w:t>
            </w:r>
            <w:r>
              <w:rPr>
                <w:spacing w:val="12"/>
                <w:sz w:val="22"/>
              </w:rPr>
              <w:t> </w:t>
            </w:r>
            <w:r>
              <w:rPr>
                <w:spacing w:val="-2"/>
                <w:sz w:val="22"/>
              </w:rPr>
              <w:t>Services</w:t>
            </w:r>
          </w:p>
        </w:tc>
        <w:tc>
          <w:tcPr>
            <w:tcW w:w="1161" w:type="dxa"/>
            <w:tcBorders>
              <w:top w:val="single" w:sz="4" w:space="0" w:color="8EA9DB"/>
              <w:bottom w:val="single" w:sz="4" w:space="0" w:color="8EA9DB"/>
            </w:tcBorders>
          </w:tcPr>
          <w:p>
            <w:pPr>
              <w:pStyle w:val="TableParagraph"/>
              <w:ind w:right="96"/>
              <w:rPr>
                <w:sz w:val="22"/>
              </w:rPr>
            </w:pPr>
            <w:r>
              <w:rPr>
                <w:spacing w:val="-4"/>
                <w:sz w:val="22"/>
              </w:rPr>
              <w:t>11.8</w:t>
            </w:r>
          </w:p>
        </w:tc>
        <w:tc>
          <w:tcPr>
            <w:tcW w:w="1159" w:type="dxa"/>
            <w:tcBorders>
              <w:top w:val="single" w:sz="4" w:space="0" w:color="8EA9DB"/>
              <w:bottom w:val="single" w:sz="4" w:space="0" w:color="8EA9DB"/>
            </w:tcBorders>
          </w:tcPr>
          <w:p>
            <w:pPr>
              <w:pStyle w:val="TableParagraph"/>
              <w:rPr>
                <w:sz w:val="22"/>
              </w:rPr>
            </w:pPr>
            <w:r>
              <w:rPr>
                <w:spacing w:val="-4"/>
                <w:sz w:val="22"/>
              </w:rPr>
              <w:t>11.3</w:t>
            </w:r>
          </w:p>
        </w:tc>
        <w:tc>
          <w:tcPr>
            <w:tcW w:w="1159" w:type="dxa"/>
            <w:tcBorders>
              <w:top w:val="single" w:sz="4" w:space="0" w:color="8EA9DB"/>
              <w:bottom w:val="single" w:sz="4" w:space="0" w:color="8EA9DB"/>
            </w:tcBorders>
          </w:tcPr>
          <w:p>
            <w:pPr>
              <w:pStyle w:val="TableParagraph"/>
              <w:rPr>
                <w:sz w:val="22"/>
              </w:rPr>
            </w:pPr>
            <w:r>
              <w:rPr>
                <w:spacing w:val="-4"/>
                <w:sz w:val="22"/>
              </w:rPr>
              <w:t>11.1</w:t>
            </w:r>
          </w:p>
        </w:tc>
        <w:tc>
          <w:tcPr>
            <w:tcW w:w="1161" w:type="dxa"/>
            <w:tcBorders>
              <w:top w:val="single" w:sz="4" w:space="0" w:color="8EA9DB"/>
              <w:bottom w:val="single" w:sz="4" w:space="0" w:color="8EA9DB"/>
            </w:tcBorders>
          </w:tcPr>
          <w:p>
            <w:pPr>
              <w:pStyle w:val="TableParagraph"/>
              <w:ind w:right="95"/>
              <w:rPr>
                <w:sz w:val="22"/>
              </w:rPr>
            </w:pPr>
            <w:r>
              <w:rPr>
                <w:spacing w:val="-5"/>
                <w:sz w:val="22"/>
              </w:rPr>
              <w:t>0.5</w:t>
            </w:r>
          </w:p>
        </w:tc>
        <w:tc>
          <w:tcPr>
            <w:tcW w:w="1159" w:type="dxa"/>
            <w:tcBorders>
              <w:top w:val="single" w:sz="4" w:space="0" w:color="8EA9DB"/>
              <w:bottom w:val="single" w:sz="4" w:space="0" w:color="8EA9DB"/>
            </w:tcBorders>
          </w:tcPr>
          <w:p>
            <w:pPr>
              <w:pStyle w:val="TableParagraph"/>
              <w:rPr>
                <w:sz w:val="22"/>
              </w:rPr>
            </w:pPr>
            <w:r>
              <w:rPr>
                <w:spacing w:val="-5"/>
                <w:sz w:val="22"/>
              </w:rPr>
              <w:t>0.7</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1154" w:right="0"/>
              <w:jc w:val="left"/>
              <w:rPr>
                <w:sz w:val="22"/>
              </w:rPr>
            </w:pPr>
            <w:r>
              <w:rPr>
                <w:sz w:val="22"/>
              </w:rPr>
              <w:t>Food</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2"/>
                <w:sz w:val="22"/>
              </w:rPr>
              <w:t>106.1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100.6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98.2</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5.5</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7.9</w:t>
            </w:r>
          </w:p>
        </w:tc>
      </w:tr>
      <w:tr>
        <w:trPr>
          <w:trHeight w:val="299" w:hRule="atLeast"/>
        </w:trPr>
        <w:tc>
          <w:tcPr>
            <w:tcW w:w="4879" w:type="dxa"/>
            <w:tcBorders>
              <w:top w:val="single" w:sz="4" w:space="0" w:color="8EA9DB"/>
              <w:bottom w:val="single" w:sz="4" w:space="0" w:color="8EA9DB"/>
            </w:tcBorders>
          </w:tcPr>
          <w:p>
            <w:pPr>
              <w:pStyle w:val="TableParagraph"/>
              <w:ind w:left="657" w:right="0"/>
              <w:jc w:val="left"/>
              <w:rPr>
                <w:b/>
                <w:sz w:val="22"/>
              </w:rPr>
            </w:pPr>
            <w:r>
              <w:rPr>
                <w:b/>
                <w:sz w:val="22"/>
              </w:rPr>
              <w:t>Other</w:t>
            </w:r>
            <w:r>
              <w:rPr>
                <w:b/>
                <w:spacing w:val="-7"/>
                <w:sz w:val="22"/>
              </w:rPr>
              <w:t> </w:t>
            </w:r>
            <w:r>
              <w:rPr>
                <w:b/>
                <w:spacing w:val="-2"/>
                <w:sz w:val="22"/>
              </w:rPr>
              <w:t>Services</w:t>
            </w:r>
          </w:p>
        </w:tc>
        <w:tc>
          <w:tcPr>
            <w:tcW w:w="1161" w:type="dxa"/>
            <w:tcBorders>
              <w:top w:val="single" w:sz="4" w:space="0" w:color="8EA9DB"/>
              <w:bottom w:val="single" w:sz="4" w:space="0" w:color="8EA9DB"/>
            </w:tcBorders>
          </w:tcPr>
          <w:p>
            <w:pPr>
              <w:pStyle w:val="TableParagraph"/>
              <w:ind w:right="96"/>
              <w:rPr>
                <w:b/>
                <w:sz w:val="22"/>
              </w:rPr>
            </w:pPr>
            <w:r>
              <w:rPr>
                <w:b/>
                <w:spacing w:val="-4"/>
                <w:sz w:val="22"/>
              </w:rPr>
              <w:t>73.4</w:t>
            </w:r>
          </w:p>
        </w:tc>
        <w:tc>
          <w:tcPr>
            <w:tcW w:w="1159" w:type="dxa"/>
            <w:tcBorders>
              <w:top w:val="single" w:sz="4" w:space="0" w:color="8EA9DB"/>
              <w:bottom w:val="single" w:sz="4" w:space="0" w:color="8EA9DB"/>
            </w:tcBorders>
          </w:tcPr>
          <w:p>
            <w:pPr>
              <w:pStyle w:val="TableParagraph"/>
              <w:rPr>
                <w:b/>
                <w:sz w:val="22"/>
              </w:rPr>
            </w:pPr>
            <w:r>
              <w:rPr>
                <w:b/>
                <w:spacing w:val="-4"/>
                <w:sz w:val="22"/>
              </w:rPr>
              <w:t>73.0</w:t>
            </w:r>
          </w:p>
        </w:tc>
        <w:tc>
          <w:tcPr>
            <w:tcW w:w="1159" w:type="dxa"/>
            <w:tcBorders>
              <w:top w:val="single" w:sz="4" w:space="0" w:color="8EA9DB"/>
              <w:bottom w:val="single" w:sz="4" w:space="0" w:color="8EA9DB"/>
            </w:tcBorders>
          </w:tcPr>
          <w:p>
            <w:pPr>
              <w:pStyle w:val="TableParagraph"/>
              <w:rPr>
                <w:b/>
                <w:sz w:val="22"/>
              </w:rPr>
            </w:pPr>
            <w:r>
              <w:rPr>
                <w:b/>
                <w:spacing w:val="-4"/>
                <w:sz w:val="22"/>
              </w:rPr>
              <w:t>71.3</w:t>
            </w:r>
          </w:p>
        </w:tc>
        <w:tc>
          <w:tcPr>
            <w:tcW w:w="1161" w:type="dxa"/>
            <w:tcBorders>
              <w:top w:val="single" w:sz="4" w:space="0" w:color="8EA9DB"/>
              <w:bottom w:val="single" w:sz="4" w:space="0" w:color="8EA9DB"/>
            </w:tcBorders>
          </w:tcPr>
          <w:p>
            <w:pPr>
              <w:pStyle w:val="TableParagraph"/>
              <w:ind w:right="96"/>
              <w:rPr>
                <w:b/>
                <w:sz w:val="22"/>
              </w:rPr>
            </w:pPr>
            <w:r>
              <w:rPr>
                <w:b/>
                <w:spacing w:val="-5"/>
                <w:sz w:val="22"/>
              </w:rPr>
              <w:t>0.4</w:t>
            </w:r>
          </w:p>
        </w:tc>
        <w:tc>
          <w:tcPr>
            <w:tcW w:w="1159" w:type="dxa"/>
            <w:tcBorders>
              <w:top w:val="single" w:sz="4" w:space="0" w:color="8EA9DB"/>
              <w:bottom w:val="single" w:sz="4" w:space="0" w:color="8EA9DB"/>
            </w:tcBorders>
          </w:tcPr>
          <w:p>
            <w:pPr>
              <w:pStyle w:val="TableParagraph"/>
              <w:rPr>
                <w:b/>
                <w:sz w:val="22"/>
              </w:rPr>
            </w:pPr>
            <w:r>
              <w:rPr>
                <w:b/>
                <w:spacing w:val="-5"/>
                <w:sz w:val="22"/>
              </w:rPr>
              <w:t>2.1</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655" w:right="0"/>
              <w:jc w:val="left"/>
              <w:rPr>
                <w:b/>
                <w:sz w:val="22"/>
              </w:rPr>
            </w:pPr>
            <w:r>
              <w:rPr>
                <w:b/>
                <w:spacing w:val="-2"/>
                <w:sz w:val="22"/>
              </w:rPr>
              <w:t>Government</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2"/>
                <w:sz w:val="22"/>
              </w:rPr>
              <w:t>213.3</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2"/>
                <w:sz w:val="22"/>
              </w:rPr>
              <w:t>212.2</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2"/>
                <w:sz w:val="22"/>
              </w:rPr>
              <w:t>211.8</w:t>
            </w:r>
          </w:p>
        </w:tc>
        <w:tc>
          <w:tcPr>
            <w:tcW w:w="1161" w:type="dxa"/>
            <w:tcBorders>
              <w:top w:val="single" w:sz="4" w:space="0" w:color="8EA9DB"/>
              <w:bottom w:val="single" w:sz="4" w:space="0" w:color="8EA9DB"/>
            </w:tcBorders>
            <w:shd w:val="clear" w:color="auto" w:fill="D9E0F1"/>
          </w:tcPr>
          <w:p>
            <w:pPr>
              <w:pStyle w:val="TableParagraph"/>
              <w:ind w:right="96"/>
              <w:rPr>
                <w:b/>
                <w:sz w:val="22"/>
              </w:rPr>
            </w:pPr>
            <w:r>
              <w:rPr>
                <w:b/>
                <w:spacing w:val="-5"/>
                <w:sz w:val="22"/>
              </w:rPr>
              <w:t>1.1</w:t>
            </w:r>
          </w:p>
        </w:tc>
        <w:tc>
          <w:tcPr>
            <w:tcW w:w="1159" w:type="dxa"/>
            <w:tcBorders>
              <w:top w:val="single" w:sz="4" w:space="0" w:color="8EA9DB"/>
              <w:bottom w:val="single" w:sz="4" w:space="0" w:color="8EA9DB"/>
            </w:tcBorders>
            <w:shd w:val="clear" w:color="auto" w:fill="D9E0F1"/>
          </w:tcPr>
          <w:p>
            <w:pPr>
              <w:pStyle w:val="TableParagraph"/>
              <w:rPr>
                <w:b/>
                <w:sz w:val="22"/>
              </w:rPr>
            </w:pPr>
            <w:r>
              <w:rPr>
                <w:b/>
                <w:spacing w:val="-5"/>
                <w:sz w:val="22"/>
              </w:rPr>
              <w:t>1.5</w:t>
            </w:r>
          </w:p>
        </w:tc>
      </w:tr>
      <w:tr>
        <w:trPr>
          <w:trHeight w:val="301" w:hRule="atLeast"/>
        </w:trPr>
        <w:tc>
          <w:tcPr>
            <w:tcW w:w="4879" w:type="dxa"/>
            <w:tcBorders>
              <w:top w:val="single" w:sz="4" w:space="0" w:color="8EA9DB"/>
              <w:bottom w:val="single" w:sz="4" w:space="0" w:color="8EA9DB"/>
            </w:tcBorders>
          </w:tcPr>
          <w:p>
            <w:pPr>
              <w:pStyle w:val="TableParagraph"/>
              <w:spacing w:before="32"/>
              <w:ind w:left="955" w:right="0"/>
              <w:jc w:val="left"/>
              <w:rPr>
                <w:sz w:val="22"/>
              </w:rPr>
            </w:pPr>
            <w:r>
              <w:rPr>
                <w:sz w:val="22"/>
              </w:rPr>
              <w:t>Federal</w:t>
            </w:r>
            <w:r>
              <w:rPr>
                <w:spacing w:val="-7"/>
                <w:sz w:val="22"/>
              </w:rPr>
              <w:t> </w:t>
            </w:r>
            <w:r>
              <w:rPr>
                <w:spacing w:val="-2"/>
                <w:sz w:val="22"/>
              </w:rPr>
              <w:t>Government</w:t>
            </w:r>
          </w:p>
        </w:tc>
        <w:tc>
          <w:tcPr>
            <w:tcW w:w="1161" w:type="dxa"/>
            <w:tcBorders>
              <w:top w:val="single" w:sz="4" w:space="0" w:color="8EA9DB"/>
              <w:bottom w:val="single" w:sz="4" w:space="0" w:color="8EA9DB"/>
            </w:tcBorders>
          </w:tcPr>
          <w:p>
            <w:pPr>
              <w:pStyle w:val="TableParagraph"/>
              <w:spacing w:before="32"/>
              <w:ind w:right="96"/>
              <w:rPr>
                <w:sz w:val="22"/>
              </w:rPr>
            </w:pPr>
            <w:r>
              <w:rPr>
                <w:spacing w:val="-4"/>
                <w:sz w:val="22"/>
              </w:rPr>
              <w:t>21.0</w:t>
            </w:r>
          </w:p>
        </w:tc>
        <w:tc>
          <w:tcPr>
            <w:tcW w:w="1159" w:type="dxa"/>
            <w:tcBorders>
              <w:top w:val="single" w:sz="4" w:space="0" w:color="8EA9DB"/>
              <w:bottom w:val="single" w:sz="4" w:space="0" w:color="8EA9DB"/>
            </w:tcBorders>
          </w:tcPr>
          <w:p>
            <w:pPr>
              <w:pStyle w:val="TableParagraph"/>
              <w:spacing w:before="32"/>
              <w:rPr>
                <w:sz w:val="22"/>
              </w:rPr>
            </w:pPr>
            <w:r>
              <w:rPr>
                <w:spacing w:val="-4"/>
                <w:sz w:val="22"/>
              </w:rPr>
              <w:t>20.9</w:t>
            </w:r>
          </w:p>
        </w:tc>
        <w:tc>
          <w:tcPr>
            <w:tcW w:w="1159" w:type="dxa"/>
            <w:tcBorders>
              <w:top w:val="single" w:sz="4" w:space="0" w:color="8EA9DB"/>
              <w:bottom w:val="single" w:sz="4" w:space="0" w:color="8EA9DB"/>
            </w:tcBorders>
          </w:tcPr>
          <w:p>
            <w:pPr>
              <w:pStyle w:val="TableParagraph"/>
              <w:spacing w:before="32"/>
              <w:rPr>
                <w:sz w:val="22"/>
              </w:rPr>
            </w:pPr>
            <w:r>
              <w:rPr>
                <w:spacing w:val="-4"/>
                <w:sz w:val="22"/>
              </w:rPr>
              <w:t>20.5</w:t>
            </w:r>
          </w:p>
        </w:tc>
        <w:tc>
          <w:tcPr>
            <w:tcW w:w="1161" w:type="dxa"/>
            <w:tcBorders>
              <w:top w:val="single" w:sz="4" w:space="0" w:color="8EA9DB"/>
              <w:bottom w:val="single" w:sz="4" w:space="0" w:color="8EA9DB"/>
            </w:tcBorders>
          </w:tcPr>
          <w:p>
            <w:pPr>
              <w:pStyle w:val="TableParagraph"/>
              <w:spacing w:before="32"/>
              <w:ind w:right="95"/>
              <w:rPr>
                <w:sz w:val="22"/>
              </w:rPr>
            </w:pPr>
            <w:r>
              <w:rPr>
                <w:spacing w:val="-5"/>
                <w:sz w:val="22"/>
              </w:rPr>
              <w:t>0.1</w:t>
            </w:r>
          </w:p>
        </w:tc>
        <w:tc>
          <w:tcPr>
            <w:tcW w:w="1159" w:type="dxa"/>
            <w:tcBorders>
              <w:top w:val="single" w:sz="4" w:space="0" w:color="8EA9DB"/>
              <w:bottom w:val="single" w:sz="4" w:space="0" w:color="8EA9DB"/>
            </w:tcBorders>
          </w:tcPr>
          <w:p>
            <w:pPr>
              <w:pStyle w:val="TableParagraph"/>
              <w:spacing w:before="32"/>
              <w:rPr>
                <w:sz w:val="22"/>
              </w:rPr>
            </w:pPr>
            <w:r>
              <w:rPr>
                <w:spacing w:val="-5"/>
                <w:sz w:val="22"/>
              </w:rPr>
              <w:t>0.5</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left="955" w:right="0"/>
              <w:jc w:val="left"/>
              <w:rPr>
                <w:sz w:val="22"/>
              </w:rPr>
            </w:pPr>
            <w:r>
              <w:rPr>
                <w:sz w:val="22"/>
              </w:rPr>
              <w:t>State</w:t>
            </w:r>
            <w:r>
              <w:rPr>
                <w:spacing w:val="-3"/>
                <w:sz w:val="22"/>
              </w:rPr>
              <w:t> </w:t>
            </w:r>
            <w:r>
              <w:rPr>
                <w:spacing w:val="-2"/>
                <w:sz w:val="22"/>
              </w:rPr>
              <w:t>Government</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78.6</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78.2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78.6</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0.4</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0.0</w:t>
            </w:r>
          </w:p>
        </w:tc>
      </w:tr>
      <w:tr>
        <w:trPr>
          <w:trHeight w:val="299" w:hRule="atLeast"/>
        </w:trPr>
        <w:tc>
          <w:tcPr>
            <w:tcW w:w="4879" w:type="dxa"/>
            <w:tcBorders>
              <w:top w:val="single" w:sz="4" w:space="0" w:color="8EA9DB"/>
              <w:bottom w:val="single" w:sz="4" w:space="0" w:color="8EA9DB"/>
            </w:tcBorders>
          </w:tcPr>
          <w:p>
            <w:pPr>
              <w:pStyle w:val="TableParagraph"/>
              <w:ind w:right="139"/>
              <w:rPr>
                <w:sz w:val="22"/>
              </w:rPr>
            </w:pPr>
            <w:r>
              <w:rPr>
                <w:sz w:val="22"/>
              </w:rPr>
              <w:t>State</w:t>
            </w:r>
            <w:r>
              <w:rPr>
                <w:spacing w:val="-6"/>
                <w:sz w:val="22"/>
              </w:rPr>
              <w:t> </w:t>
            </w:r>
            <w:r>
              <w:rPr>
                <w:sz w:val="22"/>
              </w:rPr>
              <w:t>Government,</w:t>
            </w:r>
            <w:r>
              <w:rPr>
                <w:spacing w:val="-7"/>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tcPr>
          <w:p>
            <w:pPr>
              <w:pStyle w:val="TableParagraph"/>
              <w:ind w:right="96"/>
              <w:rPr>
                <w:sz w:val="22"/>
              </w:rPr>
            </w:pPr>
            <w:r>
              <w:rPr>
                <w:spacing w:val="-4"/>
                <w:sz w:val="22"/>
              </w:rPr>
              <w:t>32.4</w:t>
            </w:r>
          </w:p>
        </w:tc>
        <w:tc>
          <w:tcPr>
            <w:tcW w:w="1159" w:type="dxa"/>
            <w:tcBorders>
              <w:top w:val="single" w:sz="4" w:space="0" w:color="8EA9DB"/>
              <w:bottom w:val="single" w:sz="4" w:space="0" w:color="8EA9DB"/>
            </w:tcBorders>
          </w:tcPr>
          <w:p>
            <w:pPr>
              <w:pStyle w:val="TableParagraph"/>
              <w:rPr>
                <w:sz w:val="22"/>
              </w:rPr>
            </w:pPr>
            <w:r>
              <w:rPr>
                <w:spacing w:val="-4"/>
                <w:sz w:val="22"/>
              </w:rPr>
              <w:t>32.0</w:t>
            </w:r>
          </w:p>
        </w:tc>
        <w:tc>
          <w:tcPr>
            <w:tcW w:w="1159" w:type="dxa"/>
            <w:tcBorders>
              <w:top w:val="single" w:sz="4" w:space="0" w:color="8EA9DB"/>
              <w:bottom w:val="single" w:sz="4" w:space="0" w:color="8EA9DB"/>
            </w:tcBorders>
          </w:tcPr>
          <w:p>
            <w:pPr>
              <w:pStyle w:val="TableParagraph"/>
              <w:rPr>
                <w:sz w:val="22"/>
              </w:rPr>
            </w:pPr>
            <w:r>
              <w:rPr>
                <w:spacing w:val="-4"/>
                <w:sz w:val="22"/>
              </w:rPr>
              <w:t>32.2</w:t>
            </w:r>
          </w:p>
        </w:tc>
        <w:tc>
          <w:tcPr>
            <w:tcW w:w="1161" w:type="dxa"/>
            <w:tcBorders>
              <w:top w:val="single" w:sz="4" w:space="0" w:color="8EA9DB"/>
              <w:bottom w:val="single" w:sz="4" w:space="0" w:color="8EA9DB"/>
            </w:tcBorders>
          </w:tcPr>
          <w:p>
            <w:pPr>
              <w:pStyle w:val="TableParagraph"/>
              <w:ind w:right="95"/>
              <w:rPr>
                <w:sz w:val="22"/>
              </w:rPr>
            </w:pPr>
            <w:r>
              <w:rPr>
                <w:spacing w:val="-5"/>
                <w:sz w:val="22"/>
              </w:rPr>
              <w:t>0.4</w:t>
            </w:r>
          </w:p>
        </w:tc>
        <w:tc>
          <w:tcPr>
            <w:tcW w:w="1159" w:type="dxa"/>
            <w:tcBorders>
              <w:top w:val="single" w:sz="4" w:space="0" w:color="8EA9DB"/>
              <w:bottom w:val="single" w:sz="4" w:space="0" w:color="8EA9DB"/>
            </w:tcBorders>
          </w:tcPr>
          <w:p>
            <w:pPr>
              <w:pStyle w:val="TableParagraph"/>
              <w:rPr>
                <w:sz w:val="22"/>
              </w:rPr>
            </w:pPr>
            <w:r>
              <w:rPr>
                <w:spacing w:val="-5"/>
                <w:sz w:val="22"/>
              </w:rPr>
              <w:t>0.2</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right="172"/>
              <w:rPr>
                <w:sz w:val="22"/>
              </w:rPr>
            </w:pPr>
            <w:r>
              <w:rPr>
                <w:sz w:val="22"/>
              </w:rPr>
              <w:t>State</w:t>
            </w:r>
            <w:r>
              <w:rPr>
                <w:spacing w:val="-7"/>
                <w:sz w:val="22"/>
              </w:rPr>
              <w:t> </w:t>
            </w:r>
            <w:r>
              <w:rPr>
                <w:sz w:val="22"/>
              </w:rPr>
              <w:t>Government,</w:t>
            </w:r>
            <w:r>
              <w:rPr>
                <w:spacing w:val="-7"/>
                <w:sz w:val="22"/>
              </w:rPr>
              <w:t> </w:t>
            </w:r>
            <w:r>
              <w:rPr>
                <w:sz w:val="22"/>
              </w:rPr>
              <w:t>Excluding</w:t>
            </w:r>
            <w:r>
              <w:rPr>
                <w:spacing w:val="-7"/>
                <w:sz w:val="22"/>
              </w:rPr>
              <w:t> </w:t>
            </w:r>
            <w:r>
              <w:rPr>
                <w:spacing w:val="-2"/>
                <w:sz w:val="22"/>
              </w:rPr>
              <w:t>Education</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46.2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46.2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46.4</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rPr>
                <w:sz w:val="22"/>
              </w:rPr>
            </w:pPr>
            <w:r>
              <w:rPr>
                <w:spacing w:val="-2"/>
                <w:sz w:val="22"/>
              </w:rPr>
              <w:t>-</w:t>
            </w:r>
            <w:r>
              <w:rPr>
                <w:spacing w:val="-5"/>
                <w:sz w:val="22"/>
              </w:rPr>
              <w:t>0.2</w:t>
            </w:r>
          </w:p>
        </w:tc>
      </w:tr>
      <w:tr>
        <w:trPr>
          <w:trHeight w:val="299" w:hRule="atLeast"/>
        </w:trPr>
        <w:tc>
          <w:tcPr>
            <w:tcW w:w="4879" w:type="dxa"/>
            <w:tcBorders>
              <w:top w:val="single" w:sz="4" w:space="0" w:color="8EA9DB"/>
              <w:bottom w:val="single" w:sz="4" w:space="0" w:color="8EA9DB"/>
            </w:tcBorders>
          </w:tcPr>
          <w:p>
            <w:pPr>
              <w:pStyle w:val="TableParagraph"/>
              <w:ind w:left="955" w:right="0"/>
              <w:jc w:val="left"/>
              <w:rPr>
                <w:sz w:val="22"/>
              </w:rPr>
            </w:pPr>
            <w:r>
              <w:rPr>
                <w:sz w:val="22"/>
              </w:rPr>
              <w:t>Local</w:t>
            </w:r>
            <w:r>
              <w:rPr>
                <w:spacing w:val="-5"/>
                <w:sz w:val="22"/>
              </w:rPr>
              <w:t> </w:t>
            </w:r>
            <w:r>
              <w:rPr>
                <w:spacing w:val="-2"/>
                <w:sz w:val="22"/>
              </w:rPr>
              <w:t>Government</w:t>
            </w:r>
          </w:p>
        </w:tc>
        <w:tc>
          <w:tcPr>
            <w:tcW w:w="1161" w:type="dxa"/>
            <w:tcBorders>
              <w:top w:val="single" w:sz="4" w:space="0" w:color="8EA9DB"/>
              <w:bottom w:val="single" w:sz="4" w:space="0" w:color="8EA9DB"/>
            </w:tcBorders>
          </w:tcPr>
          <w:p>
            <w:pPr>
              <w:pStyle w:val="TableParagraph"/>
              <w:ind w:right="96"/>
              <w:rPr>
                <w:sz w:val="22"/>
              </w:rPr>
            </w:pPr>
            <w:r>
              <w:rPr>
                <w:spacing w:val="-2"/>
                <w:sz w:val="22"/>
              </w:rPr>
              <w:t>113.7</w:t>
            </w:r>
          </w:p>
        </w:tc>
        <w:tc>
          <w:tcPr>
            <w:tcW w:w="1159" w:type="dxa"/>
            <w:tcBorders>
              <w:top w:val="single" w:sz="4" w:space="0" w:color="8EA9DB"/>
              <w:bottom w:val="single" w:sz="4" w:space="0" w:color="8EA9DB"/>
            </w:tcBorders>
          </w:tcPr>
          <w:p>
            <w:pPr>
              <w:pStyle w:val="TableParagraph"/>
              <w:rPr>
                <w:sz w:val="22"/>
              </w:rPr>
            </w:pPr>
            <w:r>
              <w:rPr>
                <w:spacing w:val="-2"/>
                <w:sz w:val="22"/>
              </w:rPr>
              <w:t>113.1</w:t>
            </w:r>
          </w:p>
        </w:tc>
        <w:tc>
          <w:tcPr>
            <w:tcW w:w="1159" w:type="dxa"/>
            <w:tcBorders>
              <w:top w:val="single" w:sz="4" w:space="0" w:color="8EA9DB"/>
              <w:bottom w:val="single" w:sz="4" w:space="0" w:color="8EA9DB"/>
            </w:tcBorders>
          </w:tcPr>
          <w:p>
            <w:pPr>
              <w:pStyle w:val="TableParagraph"/>
              <w:rPr>
                <w:sz w:val="22"/>
              </w:rPr>
            </w:pPr>
            <w:r>
              <w:rPr>
                <w:spacing w:val="-2"/>
                <w:sz w:val="22"/>
              </w:rPr>
              <w:t>112.7</w:t>
            </w:r>
          </w:p>
        </w:tc>
        <w:tc>
          <w:tcPr>
            <w:tcW w:w="1161" w:type="dxa"/>
            <w:tcBorders>
              <w:top w:val="single" w:sz="4" w:space="0" w:color="8EA9DB"/>
              <w:bottom w:val="single" w:sz="4" w:space="0" w:color="8EA9DB"/>
            </w:tcBorders>
          </w:tcPr>
          <w:p>
            <w:pPr>
              <w:pStyle w:val="TableParagraph"/>
              <w:ind w:right="95"/>
              <w:rPr>
                <w:sz w:val="22"/>
              </w:rPr>
            </w:pPr>
            <w:r>
              <w:rPr>
                <w:spacing w:val="-5"/>
                <w:sz w:val="22"/>
              </w:rPr>
              <w:t>0.6</w:t>
            </w:r>
          </w:p>
        </w:tc>
        <w:tc>
          <w:tcPr>
            <w:tcW w:w="1159" w:type="dxa"/>
            <w:tcBorders>
              <w:top w:val="single" w:sz="4" w:space="0" w:color="8EA9DB"/>
              <w:bottom w:val="single" w:sz="4" w:space="0" w:color="8EA9DB"/>
            </w:tcBorders>
          </w:tcPr>
          <w:p>
            <w:pPr>
              <w:pStyle w:val="TableParagraph"/>
              <w:rPr>
                <w:sz w:val="22"/>
              </w:rPr>
            </w:pPr>
            <w:r>
              <w:rPr>
                <w:spacing w:val="-5"/>
                <w:sz w:val="22"/>
              </w:rPr>
              <w:t>1.0</w:t>
            </w:r>
          </w:p>
        </w:tc>
      </w:tr>
      <w:tr>
        <w:trPr>
          <w:trHeight w:val="299" w:hRule="atLeast"/>
        </w:trPr>
        <w:tc>
          <w:tcPr>
            <w:tcW w:w="4879" w:type="dxa"/>
            <w:tcBorders>
              <w:top w:val="single" w:sz="4" w:space="0" w:color="8EA9DB"/>
              <w:bottom w:val="single" w:sz="4" w:space="0" w:color="8EA9DB"/>
            </w:tcBorders>
            <w:shd w:val="clear" w:color="auto" w:fill="D9E0F1"/>
          </w:tcPr>
          <w:p>
            <w:pPr>
              <w:pStyle w:val="TableParagraph"/>
              <w:ind w:right="146"/>
              <w:rPr>
                <w:sz w:val="22"/>
              </w:rPr>
            </w:pPr>
            <w:r>
              <w:rPr>
                <w:sz w:val="22"/>
              </w:rPr>
              <w:t>Local</w:t>
            </w:r>
            <w:r>
              <w:rPr>
                <w:spacing w:val="-9"/>
                <w:sz w:val="22"/>
              </w:rPr>
              <w:t> </w:t>
            </w:r>
            <w:r>
              <w:rPr>
                <w:sz w:val="22"/>
              </w:rPr>
              <w:t>Government,</w:t>
            </w:r>
            <w:r>
              <w:rPr>
                <w:spacing w:val="-6"/>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ind w:right="96"/>
              <w:rPr>
                <w:sz w:val="22"/>
              </w:rPr>
            </w:pPr>
            <w:r>
              <w:rPr>
                <w:spacing w:val="-4"/>
                <w:sz w:val="22"/>
              </w:rPr>
              <w:t>70.2</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70.1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4"/>
                <w:sz w:val="22"/>
              </w:rPr>
              <w:t>69.7</w:t>
            </w:r>
          </w:p>
        </w:tc>
        <w:tc>
          <w:tcPr>
            <w:tcW w:w="1161" w:type="dxa"/>
            <w:tcBorders>
              <w:top w:val="single" w:sz="4" w:space="0" w:color="8EA9DB"/>
              <w:bottom w:val="single" w:sz="4" w:space="0" w:color="8EA9DB"/>
            </w:tcBorders>
            <w:shd w:val="clear" w:color="auto" w:fill="D9E0F1"/>
          </w:tcPr>
          <w:p>
            <w:pPr>
              <w:pStyle w:val="TableParagraph"/>
              <w:ind w:right="95"/>
              <w:rPr>
                <w:sz w:val="22"/>
              </w:rPr>
            </w:pPr>
            <w:r>
              <w:rPr>
                <w:spacing w:val="-5"/>
                <w:sz w:val="22"/>
              </w:rPr>
              <w:t>0.1</w:t>
            </w:r>
          </w:p>
        </w:tc>
        <w:tc>
          <w:tcPr>
            <w:tcW w:w="1159" w:type="dxa"/>
            <w:tcBorders>
              <w:top w:val="single" w:sz="4" w:space="0" w:color="8EA9DB"/>
              <w:bottom w:val="single" w:sz="4" w:space="0" w:color="8EA9DB"/>
            </w:tcBorders>
            <w:shd w:val="clear" w:color="auto" w:fill="D9E0F1"/>
          </w:tcPr>
          <w:p>
            <w:pPr>
              <w:pStyle w:val="TableParagraph"/>
              <w:rPr>
                <w:sz w:val="22"/>
              </w:rPr>
            </w:pPr>
            <w:r>
              <w:rPr>
                <w:spacing w:val="-5"/>
                <w:sz w:val="22"/>
              </w:rPr>
              <w:t>0.5</w:t>
            </w:r>
          </w:p>
        </w:tc>
      </w:tr>
      <w:tr>
        <w:trPr>
          <w:trHeight w:val="302" w:hRule="atLeast"/>
        </w:trPr>
        <w:tc>
          <w:tcPr>
            <w:tcW w:w="4879" w:type="dxa"/>
            <w:tcBorders>
              <w:top w:val="single" w:sz="4" w:space="0" w:color="8EA9DB"/>
            </w:tcBorders>
          </w:tcPr>
          <w:p>
            <w:pPr>
              <w:pStyle w:val="TableParagraph"/>
              <w:spacing w:before="32"/>
              <w:ind w:right="179"/>
              <w:rPr>
                <w:sz w:val="22"/>
              </w:rPr>
            </w:pPr>
            <w:r>
              <w:rPr>
                <w:sz w:val="22"/>
              </w:rPr>
              <w:t>Local</w:t>
            </w:r>
            <w:r>
              <w:rPr>
                <w:spacing w:val="-9"/>
                <w:sz w:val="22"/>
              </w:rPr>
              <w:t> </w:t>
            </w:r>
            <w:r>
              <w:rPr>
                <w:sz w:val="22"/>
              </w:rPr>
              <w:t>Government,</w:t>
            </w:r>
            <w:r>
              <w:rPr>
                <w:spacing w:val="-7"/>
                <w:sz w:val="22"/>
              </w:rPr>
              <w:t> </w:t>
            </w:r>
            <w:r>
              <w:rPr>
                <w:sz w:val="22"/>
              </w:rPr>
              <w:t>Excluding</w:t>
            </w:r>
            <w:r>
              <w:rPr>
                <w:spacing w:val="-7"/>
                <w:sz w:val="22"/>
              </w:rPr>
              <w:t> </w:t>
            </w:r>
            <w:r>
              <w:rPr>
                <w:spacing w:val="-2"/>
                <w:sz w:val="22"/>
              </w:rPr>
              <w:t>Education</w:t>
            </w:r>
          </w:p>
        </w:tc>
        <w:tc>
          <w:tcPr>
            <w:tcW w:w="1161" w:type="dxa"/>
            <w:tcBorders>
              <w:top w:val="single" w:sz="4" w:space="0" w:color="8EA9DB"/>
            </w:tcBorders>
          </w:tcPr>
          <w:p>
            <w:pPr>
              <w:pStyle w:val="TableParagraph"/>
              <w:spacing w:before="32"/>
              <w:ind w:right="96"/>
              <w:rPr>
                <w:sz w:val="22"/>
              </w:rPr>
            </w:pPr>
            <w:r>
              <w:rPr>
                <w:spacing w:val="-4"/>
                <w:sz w:val="22"/>
              </w:rPr>
              <w:t>43.5</w:t>
            </w:r>
          </w:p>
        </w:tc>
        <w:tc>
          <w:tcPr>
            <w:tcW w:w="1159" w:type="dxa"/>
            <w:tcBorders>
              <w:top w:val="single" w:sz="4" w:space="0" w:color="8EA9DB"/>
            </w:tcBorders>
          </w:tcPr>
          <w:p>
            <w:pPr>
              <w:pStyle w:val="TableParagraph"/>
              <w:spacing w:before="32"/>
              <w:rPr>
                <w:sz w:val="22"/>
              </w:rPr>
            </w:pPr>
            <w:r>
              <w:rPr>
                <w:spacing w:val="-4"/>
                <w:sz w:val="22"/>
              </w:rPr>
              <w:t>43.0</w:t>
            </w:r>
          </w:p>
        </w:tc>
        <w:tc>
          <w:tcPr>
            <w:tcW w:w="1159" w:type="dxa"/>
            <w:tcBorders>
              <w:top w:val="single" w:sz="4" w:space="0" w:color="8EA9DB"/>
            </w:tcBorders>
          </w:tcPr>
          <w:p>
            <w:pPr>
              <w:pStyle w:val="TableParagraph"/>
              <w:spacing w:before="32"/>
              <w:rPr>
                <w:sz w:val="22"/>
              </w:rPr>
            </w:pPr>
            <w:r>
              <w:rPr>
                <w:spacing w:val="-4"/>
                <w:sz w:val="22"/>
              </w:rPr>
              <w:t>43.0</w:t>
            </w:r>
          </w:p>
        </w:tc>
        <w:tc>
          <w:tcPr>
            <w:tcW w:w="1161" w:type="dxa"/>
            <w:tcBorders>
              <w:top w:val="single" w:sz="4" w:space="0" w:color="8EA9DB"/>
            </w:tcBorders>
          </w:tcPr>
          <w:p>
            <w:pPr>
              <w:pStyle w:val="TableParagraph"/>
              <w:spacing w:before="32"/>
              <w:ind w:right="95"/>
              <w:rPr>
                <w:sz w:val="22"/>
              </w:rPr>
            </w:pPr>
            <w:r>
              <w:rPr>
                <w:spacing w:val="-5"/>
                <w:sz w:val="22"/>
              </w:rPr>
              <w:t>0.5</w:t>
            </w:r>
          </w:p>
        </w:tc>
        <w:tc>
          <w:tcPr>
            <w:tcW w:w="1159" w:type="dxa"/>
            <w:tcBorders>
              <w:top w:val="single" w:sz="4" w:space="0" w:color="8EA9DB"/>
            </w:tcBorders>
          </w:tcPr>
          <w:p>
            <w:pPr>
              <w:pStyle w:val="TableParagraph"/>
              <w:spacing w:before="32"/>
              <w:rPr>
                <w:sz w:val="22"/>
              </w:rPr>
            </w:pPr>
            <w:r>
              <w:rPr>
                <w:spacing w:val="-5"/>
                <w:sz w:val="22"/>
              </w:rPr>
              <w:t>0.5</w:t>
            </w:r>
          </w:p>
        </w:tc>
      </w:tr>
    </w:tbl>
    <w:p>
      <w:pPr>
        <w:tabs>
          <w:tab w:pos="5448" w:val="left" w:leader="none"/>
        </w:tabs>
        <w:spacing w:before="123"/>
        <w:ind w:left="0" w:right="16" w:firstLine="0"/>
        <w:jc w:val="center"/>
        <w:rPr>
          <w:sz w:val="16"/>
        </w:rPr>
      </w:pPr>
      <w:r>
        <w:rPr>
          <w:sz w:val="16"/>
        </w:rPr>
        <w:t>Source</w:t>
      </w:r>
      <w:r>
        <w:rPr>
          <w:b/>
          <w:sz w:val="16"/>
        </w:rPr>
        <w:t>:</w:t>
      </w:r>
      <w:r>
        <w:rPr>
          <w:b/>
          <w:spacing w:val="31"/>
          <w:sz w:val="16"/>
        </w:rPr>
        <w:t>  </w:t>
      </w:r>
      <w:r>
        <w:rPr>
          <w:sz w:val="16"/>
        </w:rPr>
        <w:t>Monthly</w:t>
      </w:r>
      <w:r>
        <w:rPr>
          <w:spacing w:val="-4"/>
          <w:sz w:val="16"/>
        </w:rPr>
        <w:t> </w:t>
      </w:r>
      <w:r>
        <w:rPr>
          <w:sz w:val="16"/>
        </w:rPr>
        <w:t>Survey</w:t>
      </w:r>
      <w:r>
        <w:rPr>
          <w:spacing w:val="-3"/>
          <w:sz w:val="16"/>
        </w:rPr>
        <w:t> </w:t>
      </w:r>
      <w:r>
        <w:rPr>
          <w:sz w:val="16"/>
        </w:rPr>
        <w:t>of</w:t>
      </w:r>
      <w:r>
        <w:rPr>
          <w:spacing w:val="-4"/>
          <w:sz w:val="16"/>
        </w:rPr>
        <w:t> </w:t>
      </w:r>
      <w:r>
        <w:rPr>
          <w:sz w:val="16"/>
        </w:rPr>
        <w:t>Employers,</w:t>
      </w:r>
      <w:r>
        <w:rPr>
          <w:spacing w:val="-3"/>
          <w:sz w:val="16"/>
        </w:rPr>
        <w:t> </w:t>
      </w:r>
      <w:r>
        <w:rPr>
          <w:sz w:val="16"/>
        </w:rPr>
        <w:t>based</w:t>
      </w:r>
      <w:r>
        <w:rPr>
          <w:spacing w:val="-3"/>
          <w:sz w:val="16"/>
        </w:rPr>
        <w:t> </w:t>
      </w:r>
      <w:r>
        <w:rPr>
          <w:sz w:val="16"/>
        </w:rPr>
        <w:t>on</w:t>
      </w:r>
      <w:r>
        <w:rPr>
          <w:spacing w:val="-3"/>
          <w:sz w:val="16"/>
        </w:rPr>
        <w:t> </w:t>
      </w:r>
      <w:r>
        <w:rPr>
          <w:sz w:val="16"/>
        </w:rPr>
        <w:t>1</w:t>
      </w:r>
      <w:r>
        <w:rPr>
          <w:sz w:val="16"/>
          <w:vertAlign w:val="superscript"/>
        </w:rPr>
        <w:t>st</w:t>
      </w:r>
      <w:r>
        <w:rPr>
          <w:spacing w:val="-4"/>
          <w:sz w:val="16"/>
          <w:vertAlign w:val="baseline"/>
        </w:rPr>
        <w:t> </w:t>
      </w:r>
      <w:r>
        <w:rPr>
          <w:sz w:val="16"/>
          <w:vertAlign w:val="baseline"/>
        </w:rPr>
        <w:t>Quarter</w:t>
      </w:r>
      <w:r>
        <w:rPr>
          <w:spacing w:val="-4"/>
          <w:sz w:val="16"/>
          <w:vertAlign w:val="baseline"/>
        </w:rPr>
        <w:t> </w:t>
      </w:r>
      <w:r>
        <w:rPr>
          <w:sz w:val="16"/>
          <w:vertAlign w:val="baseline"/>
        </w:rPr>
        <w:t>2022</w:t>
      </w:r>
      <w:r>
        <w:rPr>
          <w:spacing w:val="-2"/>
          <w:sz w:val="16"/>
          <w:vertAlign w:val="baseline"/>
        </w:rPr>
        <w:t> benchmark.</w:t>
      </w:r>
      <w:r>
        <w:rPr>
          <w:sz w:val="16"/>
          <w:vertAlign w:val="baseline"/>
        </w:rPr>
        <w:tab/>
        <w:t>Notes:</w:t>
      </w:r>
      <w:r>
        <w:rPr>
          <w:spacing w:val="76"/>
          <w:w w:val="150"/>
          <w:sz w:val="16"/>
          <w:vertAlign w:val="baseline"/>
        </w:rPr>
        <w:t> </w:t>
      </w:r>
      <w:r>
        <w:rPr>
          <w:sz w:val="16"/>
          <w:vertAlign w:val="baseline"/>
        </w:rPr>
        <w:t>Current</w:t>
      </w:r>
      <w:r>
        <w:rPr>
          <w:spacing w:val="-3"/>
          <w:sz w:val="16"/>
          <w:vertAlign w:val="baseline"/>
        </w:rPr>
        <w:t> </w:t>
      </w:r>
      <w:r>
        <w:rPr>
          <w:sz w:val="16"/>
          <w:vertAlign w:val="baseline"/>
        </w:rPr>
        <w:t>month’s</w:t>
      </w:r>
      <w:r>
        <w:rPr>
          <w:spacing w:val="-4"/>
          <w:sz w:val="16"/>
          <w:vertAlign w:val="baseline"/>
        </w:rPr>
        <w:t> </w:t>
      </w:r>
      <w:r>
        <w:rPr>
          <w:sz w:val="16"/>
          <w:vertAlign w:val="baseline"/>
        </w:rPr>
        <w:t>data</w:t>
      </w:r>
      <w:r>
        <w:rPr>
          <w:spacing w:val="-4"/>
          <w:sz w:val="16"/>
          <w:vertAlign w:val="baseline"/>
        </w:rPr>
        <w:t> </w:t>
      </w:r>
      <w:r>
        <w:rPr>
          <w:sz w:val="16"/>
          <w:vertAlign w:val="baseline"/>
        </w:rPr>
        <w:t>are</w:t>
      </w:r>
      <w:r>
        <w:rPr>
          <w:spacing w:val="-4"/>
          <w:sz w:val="16"/>
          <w:vertAlign w:val="baseline"/>
        </w:rPr>
        <w:t> </w:t>
      </w:r>
      <w:r>
        <w:rPr>
          <w:sz w:val="16"/>
          <w:vertAlign w:val="baseline"/>
        </w:rPr>
        <w:t>preliminary;</w:t>
      </w:r>
      <w:r>
        <w:rPr>
          <w:spacing w:val="-3"/>
          <w:sz w:val="16"/>
          <w:vertAlign w:val="baseline"/>
        </w:rPr>
        <w:t> </w:t>
      </w:r>
      <w:r>
        <w:rPr>
          <w:sz w:val="16"/>
          <w:vertAlign w:val="baseline"/>
        </w:rPr>
        <w:t>previous</w:t>
      </w:r>
      <w:r>
        <w:rPr>
          <w:spacing w:val="-4"/>
          <w:sz w:val="16"/>
          <w:vertAlign w:val="baseline"/>
        </w:rPr>
        <w:t> </w:t>
      </w:r>
      <w:r>
        <w:rPr>
          <w:sz w:val="16"/>
          <w:vertAlign w:val="baseline"/>
        </w:rPr>
        <w:t>month’s</w:t>
      </w:r>
      <w:r>
        <w:rPr>
          <w:spacing w:val="-4"/>
          <w:sz w:val="16"/>
          <w:vertAlign w:val="baseline"/>
        </w:rPr>
        <w:t> </w:t>
      </w:r>
      <w:r>
        <w:rPr>
          <w:sz w:val="16"/>
          <w:vertAlign w:val="baseline"/>
        </w:rPr>
        <w:t>data</w:t>
      </w:r>
      <w:r>
        <w:rPr>
          <w:spacing w:val="-4"/>
          <w:sz w:val="16"/>
          <w:vertAlign w:val="baseline"/>
        </w:rPr>
        <w:t> </w:t>
      </w:r>
      <w:r>
        <w:rPr>
          <w:sz w:val="16"/>
          <w:vertAlign w:val="baseline"/>
        </w:rPr>
        <w:t>are</w:t>
      </w:r>
      <w:r>
        <w:rPr>
          <w:spacing w:val="-5"/>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ind w:left="3153" w:right="3151" w:hanging="2"/>
      </w:pPr>
      <w:r>
        <w:rPr/>
        <w:t>Seasonally Adjusted Unemployment Rates Arkansas</w:t>
      </w:r>
      <w:r>
        <w:rPr>
          <w:spacing w:val="-7"/>
        </w:rPr>
        <w:t> </w:t>
      </w:r>
      <w:r>
        <w:rPr/>
        <w:t>vs.</w:t>
      </w:r>
      <w:r>
        <w:rPr>
          <w:spacing w:val="-9"/>
        </w:rPr>
        <w:t> </w:t>
      </w:r>
      <w:r>
        <w:rPr/>
        <w:t>United</w:t>
      </w:r>
      <w:r>
        <w:rPr>
          <w:spacing w:val="-9"/>
        </w:rPr>
        <w:t> </w:t>
      </w:r>
      <w:r>
        <w:rPr/>
        <w:t>States</w:t>
      </w:r>
      <w:r>
        <w:rPr>
          <w:spacing w:val="-7"/>
        </w:rPr>
        <w:t> </w:t>
      </w:r>
      <w:r>
        <w:rPr/>
        <w:t>(3-Year</w:t>
      </w:r>
      <w:r>
        <w:rPr>
          <w:spacing w:val="-6"/>
        </w:rPr>
        <w:t> </w:t>
      </w:r>
      <w:r>
        <w:rPr/>
        <w:t>Comparison)</w:t>
      </w:r>
    </w:p>
    <w:p>
      <w:pPr>
        <w:pStyle w:val="BodyText"/>
        <w:spacing w:before="8"/>
        <w:rPr>
          <w:b/>
          <w:sz w:val="6"/>
        </w:rPr>
      </w:pPr>
      <w:r>
        <w:rPr/>
        <w:drawing>
          <wp:anchor distT="0" distB="0" distL="0" distR="0" allowOverlap="1" layoutInCell="1" locked="0" behindDoc="0" simplePos="0" relativeHeight="1">
            <wp:simplePos x="0" y="0"/>
            <wp:positionH relativeFrom="page">
              <wp:posOffset>904875</wp:posOffset>
            </wp:positionH>
            <wp:positionV relativeFrom="paragraph">
              <wp:posOffset>67251</wp:posOffset>
            </wp:positionV>
            <wp:extent cx="5962647" cy="3829050"/>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5962647" cy="3829050"/>
                    </a:xfrm>
                    <a:prstGeom prst="rect">
                      <a:avLst/>
                    </a:prstGeom>
                  </pic:spPr>
                </pic:pic>
              </a:graphicData>
            </a:graphic>
          </wp:anchor>
        </w:drawing>
      </w:r>
    </w:p>
    <w:p>
      <w:pPr>
        <w:pStyle w:val="BodyText"/>
        <w:rPr>
          <w:b/>
        </w:rPr>
      </w:pPr>
    </w:p>
    <w:p>
      <w:pPr>
        <w:pStyle w:val="BodyText"/>
        <w:spacing w:before="11"/>
        <w:rPr>
          <w:b/>
          <w:sz w:val="23"/>
        </w:rPr>
      </w:pPr>
    </w:p>
    <w:p>
      <w:pPr>
        <w:spacing w:line="256" w:lineRule="auto" w:before="0"/>
        <w:ind w:left="3024" w:right="2910" w:firstLine="340"/>
        <w:jc w:val="left"/>
        <w:rPr>
          <w:b/>
          <w:sz w:val="24"/>
        </w:rPr>
      </w:pPr>
      <w:r>
        <w:rPr>
          <w:b/>
          <w:sz w:val="24"/>
        </w:rPr>
        <w:t>Job Gains/Losses by Major Industry Sectors April</w:t>
      </w:r>
      <w:r>
        <w:rPr>
          <w:b/>
          <w:spacing w:val="-6"/>
          <w:sz w:val="24"/>
        </w:rPr>
        <w:t> </w:t>
      </w:r>
      <w:r>
        <w:rPr>
          <w:b/>
          <w:sz w:val="24"/>
        </w:rPr>
        <w:t>2022</w:t>
      </w:r>
      <w:r>
        <w:rPr>
          <w:b/>
          <w:spacing w:val="-4"/>
          <w:sz w:val="24"/>
        </w:rPr>
        <w:t> </w:t>
      </w:r>
      <w:r>
        <w:rPr>
          <w:b/>
          <w:sz w:val="24"/>
        </w:rPr>
        <w:t>to</w:t>
      </w:r>
      <w:r>
        <w:rPr>
          <w:b/>
          <w:spacing w:val="-4"/>
          <w:sz w:val="24"/>
        </w:rPr>
        <w:t> </w:t>
      </w:r>
      <w:r>
        <w:rPr>
          <w:b/>
          <w:sz w:val="24"/>
        </w:rPr>
        <w:t>April</w:t>
      </w:r>
      <w:r>
        <w:rPr>
          <w:b/>
          <w:spacing w:val="-6"/>
          <w:sz w:val="24"/>
        </w:rPr>
        <w:t> </w:t>
      </w:r>
      <w:r>
        <w:rPr>
          <w:b/>
          <w:sz w:val="24"/>
        </w:rPr>
        <w:t>2023</w:t>
      </w:r>
      <w:r>
        <w:rPr>
          <w:b/>
          <w:spacing w:val="-6"/>
          <w:sz w:val="24"/>
        </w:rPr>
        <w:t> </w:t>
      </w:r>
      <w:r>
        <w:rPr>
          <w:b/>
          <w:sz w:val="24"/>
        </w:rPr>
        <w:t>(Not</w:t>
      </w:r>
      <w:r>
        <w:rPr>
          <w:b/>
          <w:spacing w:val="-4"/>
          <w:sz w:val="24"/>
        </w:rPr>
        <w:t> </w:t>
      </w:r>
      <w:r>
        <w:rPr>
          <w:b/>
          <w:sz w:val="24"/>
        </w:rPr>
        <w:t>Seasonally</w:t>
      </w:r>
      <w:r>
        <w:rPr>
          <w:b/>
          <w:spacing w:val="-8"/>
          <w:sz w:val="24"/>
        </w:rPr>
        <w:t> </w:t>
      </w:r>
      <w:r>
        <w:rPr>
          <w:b/>
          <w:sz w:val="24"/>
        </w:rPr>
        <w:t>Adjusted)</w:t>
      </w:r>
    </w:p>
    <w:p>
      <w:pPr>
        <w:pStyle w:val="BodyText"/>
        <w:spacing w:before="5"/>
        <w:rPr>
          <w:b/>
        </w:rPr>
      </w:pPr>
      <w:r>
        <w:rPr/>
        <w:drawing>
          <wp:anchor distT="0" distB="0" distL="0" distR="0" allowOverlap="1" layoutInCell="1" locked="0" behindDoc="0" simplePos="0" relativeHeight="2">
            <wp:simplePos x="0" y="0"/>
            <wp:positionH relativeFrom="page">
              <wp:posOffset>923925</wp:posOffset>
            </wp:positionH>
            <wp:positionV relativeFrom="paragraph">
              <wp:posOffset>204594</wp:posOffset>
            </wp:positionV>
            <wp:extent cx="5948098" cy="3480435"/>
            <wp:effectExtent l="0" t="0" r="0" b="0"/>
            <wp:wrapTopAndBottom/>
            <wp:docPr id="3" name="image4.png" descr="Chart, bar chart  Description automatically generated "/>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5948098" cy="3480435"/>
                    </a:xfrm>
                    <a:prstGeom prst="rect">
                      <a:avLst/>
                    </a:prstGeom>
                  </pic:spPr>
                </pic:pic>
              </a:graphicData>
            </a:graphic>
          </wp:anchor>
        </w:drawing>
      </w:r>
    </w:p>
    <w:p>
      <w:pPr>
        <w:pStyle w:val="BodyText"/>
        <w:spacing w:before="3"/>
        <w:rPr>
          <w:b/>
          <w:sz w:val="20"/>
        </w:rPr>
      </w:pPr>
    </w:p>
    <w:p>
      <w:pPr>
        <w:pStyle w:val="BodyText"/>
        <w:ind w:right="1"/>
        <w:jc w:val="center"/>
      </w:pPr>
      <w:r>
        <w:rPr/>
        <w:t>For</w:t>
      </w:r>
      <w:r>
        <w:rPr>
          <w:spacing w:val="-4"/>
        </w:rPr>
        <w:t> </w:t>
      </w:r>
      <w:r>
        <w:rPr/>
        <w:t>more</w:t>
      </w:r>
      <w:r>
        <w:rPr>
          <w:spacing w:val="-1"/>
        </w:rPr>
        <w:t> </w:t>
      </w:r>
      <w:r>
        <w:rPr/>
        <w:t>labor</w:t>
      </w:r>
      <w:r>
        <w:rPr>
          <w:spacing w:val="-1"/>
        </w:rPr>
        <w:t> </w:t>
      </w:r>
      <w:r>
        <w:rPr/>
        <w:t>market</w:t>
      </w:r>
      <w:r>
        <w:rPr>
          <w:spacing w:val="-3"/>
        </w:rPr>
        <w:t> </w:t>
      </w:r>
      <w:r>
        <w:rPr/>
        <w:t>data,</w:t>
      </w:r>
      <w:r>
        <w:rPr>
          <w:spacing w:val="-2"/>
        </w:rPr>
        <w:t> </w:t>
      </w:r>
      <w:r>
        <w:rPr/>
        <w:t>visit</w:t>
      </w:r>
      <w:r>
        <w:rPr>
          <w:spacing w:val="-3"/>
        </w:rPr>
        <w:t> </w:t>
      </w:r>
      <w:hyperlink r:id="rId11">
        <w:r>
          <w:rPr>
            <w:color w:val="0000FF"/>
            <w:spacing w:val="-2"/>
            <w:u w:val="single" w:color="0000FF"/>
          </w:rPr>
          <w:t>www.discover.arkansas.gov.</w:t>
        </w:r>
      </w:hyperlink>
    </w:p>
    <w:p>
      <w:pPr>
        <w:spacing w:after="0"/>
        <w:jc w:val="center"/>
        <w:sectPr>
          <w:pgSz w:w="12240" w:h="15840"/>
          <w:pgMar w:top="680" w:bottom="280" w:left="600" w:right="600"/>
        </w:sectPr>
      </w:pPr>
    </w:p>
    <w:p>
      <w:pPr>
        <w:pStyle w:val="BodyText"/>
        <w:ind w:left="840"/>
        <w:rPr>
          <w:sz w:val="20"/>
        </w:rPr>
      </w:pPr>
      <w:r>
        <w:rPr>
          <w:sz w:val="20"/>
        </w:rPr>
        <w:drawing>
          <wp:inline distT="0" distB="0" distL="0" distR="0">
            <wp:extent cx="1049675" cy="1047750"/>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12" cstate="print"/>
                    <a:stretch>
                      <a:fillRect/>
                    </a:stretch>
                  </pic:blipFill>
                  <pic:spPr>
                    <a:xfrm>
                      <a:off x="0" y="0"/>
                      <a:ext cx="1049675" cy="1047750"/>
                    </a:xfrm>
                    <a:prstGeom prst="rect">
                      <a:avLst/>
                    </a:prstGeom>
                  </pic:spPr>
                </pic:pic>
              </a:graphicData>
            </a:graphic>
          </wp:inline>
        </w:drawing>
      </w:r>
      <w:r>
        <w:rPr>
          <w:sz w:val="20"/>
        </w:rPr>
      </w:r>
    </w:p>
    <w:p>
      <w:pPr>
        <w:spacing w:line="240" w:lineRule="exact" w:before="0"/>
        <w:ind w:left="839" w:right="0" w:firstLine="0"/>
        <w:jc w:val="left"/>
        <w:rPr>
          <w:b/>
          <w:sz w:val="21"/>
        </w:rPr>
      </w:pPr>
      <w:r>
        <w:rPr>
          <w:b/>
          <w:sz w:val="21"/>
        </w:rPr>
        <w:t>About</w:t>
      </w:r>
      <w:r>
        <w:rPr>
          <w:b/>
          <w:spacing w:val="-6"/>
          <w:sz w:val="21"/>
        </w:rPr>
        <w:t> </w:t>
      </w:r>
      <w:r>
        <w:rPr>
          <w:b/>
          <w:sz w:val="21"/>
        </w:rPr>
        <w:t>the</w:t>
      </w:r>
      <w:r>
        <w:rPr>
          <w:b/>
          <w:spacing w:val="-4"/>
          <w:sz w:val="21"/>
        </w:rPr>
        <w:t> </w:t>
      </w:r>
      <w:r>
        <w:rPr>
          <w:b/>
          <w:sz w:val="21"/>
        </w:rPr>
        <w:t>Arkansas</w:t>
      </w:r>
      <w:r>
        <w:rPr>
          <w:b/>
          <w:spacing w:val="-8"/>
          <w:sz w:val="21"/>
        </w:rPr>
        <w:t> </w:t>
      </w:r>
      <w:r>
        <w:rPr>
          <w:b/>
          <w:sz w:val="21"/>
        </w:rPr>
        <w:t>Department</w:t>
      </w:r>
      <w:r>
        <w:rPr>
          <w:b/>
          <w:spacing w:val="-5"/>
          <w:sz w:val="21"/>
        </w:rPr>
        <w:t> </w:t>
      </w:r>
      <w:r>
        <w:rPr>
          <w:b/>
          <w:sz w:val="21"/>
        </w:rPr>
        <w:t>of</w:t>
      </w:r>
      <w:r>
        <w:rPr>
          <w:b/>
          <w:spacing w:val="-6"/>
          <w:sz w:val="21"/>
        </w:rPr>
        <w:t> </w:t>
      </w:r>
      <w:r>
        <w:rPr>
          <w:b/>
          <w:spacing w:val="-2"/>
          <w:sz w:val="21"/>
        </w:rPr>
        <w:t>Commerce</w:t>
      </w:r>
    </w:p>
    <w:p>
      <w:pPr>
        <w:spacing w:before="0"/>
        <w:ind w:left="839" w:right="894" w:firstLine="0"/>
        <w:jc w:val="left"/>
        <w:rPr>
          <w:sz w:val="21"/>
        </w:rPr>
      </w:pPr>
      <w:r>
        <w:rPr>
          <w:sz w:val="21"/>
        </w:rPr>
        <w:t>The Arkansas Department of Commerce is the umbrella department for workforce and economic development drivers. Its divisions and regulatory boards include Division of Aeronautics, Waterways Commission, Wine Producers Council, Division of Workforce Services, Office of Skills Development, State Bank</w:t>
      </w:r>
      <w:r>
        <w:rPr>
          <w:spacing w:val="-4"/>
          <w:sz w:val="21"/>
        </w:rPr>
        <w:t> </w:t>
      </w:r>
      <w:r>
        <w:rPr>
          <w:sz w:val="21"/>
        </w:rPr>
        <w:t>Department,</w:t>
      </w:r>
      <w:r>
        <w:rPr>
          <w:spacing w:val="-6"/>
          <w:sz w:val="21"/>
        </w:rPr>
        <w:t> </w:t>
      </w:r>
      <w:r>
        <w:rPr>
          <w:sz w:val="21"/>
        </w:rPr>
        <w:t>Insurance</w:t>
      </w:r>
      <w:r>
        <w:rPr>
          <w:spacing w:val="-6"/>
          <w:sz w:val="21"/>
        </w:rPr>
        <w:t> </w:t>
      </w:r>
      <w:r>
        <w:rPr>
          <w:sz w:val="21"/>
        </w:rPr>
        <w:t>Department,</w:t>
      </w:r>
      <w:r>
        <w:rPr>
          <w:spacing w:val="-4"/>
          <w:sz w:val="21"/>
        </w:rPr>
        <w:t> </w:t>
      </w:r>
      <w:r>
        <w:rPr>
          <w:sz w:val="21"/>
        </w:rPr>
        <w:t>Securities</w:t>
      </w:r>
      <w:r>
        <w:rPr>
          <w:spacing w:val="-5"/>
          <w:sz w:val="21"/>
        </w:rPr>
        <w:t> </w:t>
      </w:r>
      <w:r>
        <w:rPr>
          <w:sz w:val="21"/>
        </w:rPr>
        <w:t>Department,</w:t>
      </w:r>
      <w:r>
        <w:rPr>
          <w:spacing w:val="-4"/>
          <w:sz w:val="21"/>
        </w:rPr>
        <w:t> </w:t>
      </w:r>
      <w:r>
        <w:rPr>
          <w:sz w:val="21"/>
        </w:rPr>
        <w:t>Economic</w:t>
      </w:r>
      <w:r>
        <w:rPr>
          <w:spacing w:val="-5"/>
          <w:sz w:val="21"/>
        </w:rPr>
        <w:t> </w:t>
      </w:r>
      <w:r>
        <w:rPr>
          <w:sz w:val="21"/>
        </w:rPr>
        <w:t>Development</w:t>
      </w:r>
      <w:r>
        <w:rPr>
          <w:spacing w:val="-5"/>
          <w:sz w:val="21"/>
        </w:rPr>
        <w:t> </w:t>
      </w:r>
      <w:r>
        <w:rPr>
          <w:sz w:val="21"/>
        </w:rPr>
        <w:t>Commission</w:t>
      </w:r>
      <w:r>
        <w:rPr>
          <w:spacing w:val="-5"/>
          <w:sz w:val="21"/>
        </w:rPr>
        <w:t> </w:t>
      </w:r>
      <w:r>
        <w:rPr>
          <w:sz w:val="21"/>
        </w:rPr>
        <w:t>and Development Finance Authority.</w:t>
      </w:r>
    </w:p>
    <w:p>
      <w:pPr>
        <w:pStyle w:val="BodyText"/>
        <w:spacing w:before="11"/>
        <w:rPr>
          <w:sz w:val="18"/>
        </w:rPr>
      </w:pPr>
      <w:r>
        <w:rPr/>
        <w:drawing>
          <wp:anchor distT="0" distB="0" distL="0" distR="0" allowOverlap="1" layoutInCell="1" locked="0" behindDoc="0" simplePos="0" relativeHeight="3">
            <wp:simplePos x="0" y="0"/>
            <wp:positionH relativeFrom="page">
              <wp:posOffset>914400</wp:posOffset>
            </wp:positionH>
            <wp:positionV relativeFrom="paragraph">
              <wp:posOffset>161751</wp:posOffset>
            </wp:positionV>
            <wp:extent cx="1131812" cy="1018413"/>
            <wp:effectExtent l="0" t="0" r="0" b="0"/>
            <wp:wrapTopAndBottom/>
            <wp:docPr id="7" name="image6.png"/>
            <wp:cNvGraphicFramePr>
              <a:graphicFrameLocks noChangeAspect="1"/>
            </wp:cNvGraphicFramePr>
            <a:graphic>
              <a:graphicData uri="http://schemas.openxmlformats.org/drawingml/2006/picture">
                <pic:pic>
                  <pic:nvPicPr>
                    <pic:cNvPr id="8" name="image6.png"/>
                    <pic:cNvPicPr/>
                  </pic:nvPicPr>
                  <pic:blipFill>
                    <a:blip r:embed="rId13" cstate="print"/>
                    <a:stretch>
                      <a:fillRect/>
                    </a:stretch>
                  </pic:blipFill>
                  <pic:spPr>
                    <a:xfrm>
                      <a:off x="0" y="0"/>
                      <a:ext cx="1131812" cy="1018413"/>
                    </a:xfrm>
                    <a:prstGeom prst="rect">
                      <a:avLst/>
                    </a:prstGeom>
                  </pic:spPr>
                </pic:pic>
              </a:graphicData>
            </a:graphic>
          </wp:anchor>
        </w:drawing>
      </w:r>
    </w:p>
    <w:p>
      <w:pPr>
        <w:spacing w:before="0"/>
        <w:ind w:left="839" w:right="0" w:firstLine="0"/>
        <w:jc w:val="both"/>
        <w:rPr>
          <w:b/>
          <w:sz w:val="21"/>
        </w:rPr>
      </w:pPr>
      <w:r>
        <w:rPr>
          <w:b/>
          <w:color w:val="585858"/>
          <w:sz w:val="21"/>
        </w:rPr>
        <w:t>About</w:t>
      </w:r>
      <w:r>
        <w:rPr>
          <w:b/>
          <w:color w:val="585858"/>
          <w:spacing w:val="-6"/>
          <w:sz w:val="21"/>
        </w:rPr>
        <w:t> </w:t>
      </w:r>
      <w:r>
        <w:rPr>
          <w:b/>
          <w:color w:val="585858"/>
          <w:sz w:val="21"/>
        </w:rPr>
        <w:t>the</w:t>
      </w:r>
      <w:r>
        <w:rPr>
          <w:b/>
          <w:color w:val="585858"/>
          <w:spacing w:val="-6"/>
          <w:sz w:val="21"/>
        </w:rPr>
        <w:t> </w:t>
      </w:r>
      <w:r>
        <w:rPr>
          <w:b/>
          <w:color w:val="585858"/>
          <w:sz w:val="21"/>
        </w:rPr>
        <w:t>Arkansas</w:t>
      </w:r>
      <w:r>
        <w:rPr>
          <w:b/>
          <w:color w:val="585858"/>
          <w:spacing w:val="-7"/>
          <w:sz w:val="21"/>
        </w:rPr>
        <w:t> </w:t>
      </w:r>
      <w:r>
        <w:rPr>
          <w:b/>
          <w:color w:val="585858"/>
          <w:sz w:val="21"/>
        </w:rPr>
        <w:t>Division</w:t>
      </w:r>
      <w:r>
        <w:rPr>
          <w:b/>
          <w:color w:val="585858"/>
          <w:spacing w:val="-5"/>
          <w:sz w:val="21"/>
        </w:rPr>
        <w:t> </w:t>
      </w:r>
      <w:r>
        <w:rPr>
          <w:b/>
          <w:color w:val="585858"/>
          <w:sz w:val="21"/>
        </w:rPr>
        <w:t>of</w:t>
      </w:r>
      <w:r>
        <w:rPr>
          <w:b/>
          <w:color w:val="585858"/>
          <w:spacing w:val="-5"/>
          <w:sz w:val="21"/>
        </w:rPr>
        <w:t> </w:t>
      </w:r>
      <w:r>
        <w:rPr>
          <w:b/>
          <w:color w:val="585858"/>
          <w:sz w:val="21"/>
        </w:rPr>
        <w:t>Workforce</w:t>
      </w:r>
      <w:r>
        <w:rPr>
          <w:b/>
          <w:color w:val="585858"/>
          <w:spacing w:val="-7"/>
          <w:sz w:val="21"/>
        </w:rPr>
        <w:t> </w:t>
      </w:r>
      <w:r>
        <w:rPr>
          <w:b/>
          <w:color w:val="585858"/>
          <w:spacing w:val="-2"/>
          <w:sz w:val="21"/>
        </w:rPr>
        <w:t>Services</w:t>
      </w:r>
    </w:p>
    <w:p>
      <w:pPr>
        <w:spacing w:line="259" w:lineRule="auto" w:before="0"/>
        <w:ind w:left="839" w:right="834" w:firstLine="0"/>
        <w:jc w:val="both"/>
        <w:rPr>
          <w:sz w:val="21"/>
        </w:rPr>
      </w:pPr>
      <w:r>
        <w:rPr>
          <w:color w:val="585858"/>
          <w:sz w:val="21"/>
        </w:rPr>
        <w:t>The</w:t>
      </w:r>
      <w:r>
        <w:rPr>
          <w:color w:val="585858"/>
          <w:spacing w:val="-9"/>
          <w:sz w:val="21"/>
        </w:rPr>
        <w:t> </w:t>
      </w:r>
      <w:r>
        <w:rPr>
          <w:color w:val="585858"/>
          <w:sz w:val="21"/>
        </w:rPr>
        <w:t>mission</w:t>
      </w:r>
      <w:r>
        <w:rPr>
          <w:color w:val="585858"/>
          <w:spacing w:val="-10"/>
          <w:sz w:val="21"/>
        </w:rPr>
        <w:t> </w:t>
      </w:r>
      <w:r>
        <w:rPr>
          <w:color w:val="585858"/>
          <w:sz w:val="21"/>
        </w:rPr>
        <w:t>of</w:t>
      </w:r>
      <w:r>
        <w:rPr>
          <w:color w:val="585858"/>
          <w:spacing w:val="-11"/>
          <w:sz w:val="21"/>
        </w:rPr>
        <w:t> </w:t>
      </w:r>
      <w:r>
        <w:rPr>
          <w:color w:val="585858"/>
          <w:sz w:val="21"/>
        </w:rPr>
        <w:t>the</w:t>
      </w:r>
      <w:r>
        <w:rPr>
          <w:color w:val="585858"/>
          <w:spacing w:val="-9"/>
          <w:sz w:val="21"/>
        </w:rPr>
        <w:t> </w:t>
      </w:r>
      <w:r>
        <w:rPr>
          <w:color w:val="585858"/>
          <w:sz w:val="21"/>
        </w:rPr>
        <w:t>Arkansas</w:t>
      </w:r>
      <w:r>
        <w:rPr>
          <w:color w:val="585858"/>
          <w:spacing w:val="-12"/>
          <w:sz w:val="21"/>
        </w:rPr>
        <w:t> </w:t>
      </w:r>
      <w:r>
        <w:rPr>
          <w:color w:val="585858"/>
          <w:sz w:val="21"/>
        </w:rPr>
        <w:t>Division</w:t>
      </w:r>
      <w:r>
        <w:rPr>
          <w:color w:val="585858"/>
          <w:spacing w:val="-10"/>
          <w:sz w:val="21"/>
        </w:rPr>
        <w:t> </w:t>
      </w:r>
      <w:r>
        <w:rPr>
          <w:color w:val="585858"/>
          <w:sz w:val="21"/>
        </w:rPr>
        <w:t>of</w:t>
      </w:r>
      <w:r>
        <w:rPr>
          <w:color w:val="585858"/>
          <w:spacing w:val="-9"/>
          <w:sz w:val="21"/>
        </w:rPr>
        <w:t> </w:t>
      </w:r>
      <w:r>
        <w:rPr>
          <w:color w:val="585858"/>
          <w:sz w:val="21"/>
        </w:rPr>
        <w:t>Workforce</w:t>
      </w:r>
      <w:r>
        <w:rPr>
          <w:color w:val="585858"/>
          <w:spacing w:val="-9"/>
          <w:sz w:val="21"/>
        </w:rPr>
        <w:t> </w:t>
      </w:r>
      <w:r>
        <w:rPr>
          <w:color w:val="585858"/>
          <w:sz w:val="21"/>
        </w:rPr>
        <w:t>Services</w:t>
      </w:r>
      <w:r>
        <w:rPr>
          <w:color w:val="585858"/>
          <w:spacing w:val="-10"/>
          <w:sz w:val="21"/>
        </w:rPr>
        <w:t> </w:t>
      </w:r>
      <w:r>
        <w:rPr>
          <w:color w:val="585858"/>
          <w:sz w:val="21"/>
        </w:rPr>
        <w:t>is</w:t>
      </w:r>
      <w:r>
        <w:rPr>
          <w:color w:val="585858"/>
          <w:spacing w:val="-10"/>
          <w:sz w:val="21"/>
        </w:rPr>
        <w:t> </w:t>
      </w:r>
      <w:r>
        <w:rPr>
          <w:color w:val="585858"/>
          <w:sz w:val="21"/>
        </w:rPr>
        <w:t>to</w:t>
      </w:r>
      <w:r>
        <w:rPr>
          <w:color w:val="585858"/>
          <w:spacing w:val="-12"/>
          <w:sz w:val="21"/>
        </w:rPr>
        <w:t> </w:t>
      </w:r>
      <w:r>
        <w:rPr>
          <w:color w:val="585858"/>
          <w:sz w:val="21"/>
        </w:rPr>
        <w:t>support</w:t>
      </w:r>
      <w:r>
        <w:rPr>
          <w:color w:val="585858"/>
          <w:spacing w:val="-10"/>
          <w:sz w:val="21"/>
        </w:rPr>
        <w:t> </w:t>
      </w:r>
      <w:r>
        <w:rPr>
          <w:color w:val="585858"/>
          <w:sz w:val="21"/>
        </w:rPr>
        <w:t>and</w:t>
      </w:r>
      <w:r>
        <w:rPr>
          <w:color w:val="585858"/>
          <w:spacing w:val="-10"/>
          <w:sz w:val="21"/>
        </w:rPr>
        <w:t> </w:t>
      </w:r>
      <w:r>
        <w:rPr>
          <w:color w:val="585858"/>
          <w:sz w:val="21"/>
        </w:rPr>
        <w:t>secure</w:t>
      </w:r>
      <w:r>
        <w:rPr>
          <w:color w:val="585858"/>
          <w:spacing w:val="-11"/>
          <w:sz w:val="21"/>
        </w:rPr>
        <w:t> </w:t>
      </w:r>
      <w:r>
        <w:rPr>
          <w:color w:val="585858"/>
          <w:sz w:val="21"/>
        </w:rPr>
        <w:t>Arkansas'</w:t>
      </w:r>
      <w:r>
        <w:rPr>
          <w:color w:val="585858"/>
          <w:spacing w:val="-9"/>
          <w:sz w:val="21"/>
        </w:rPr>
        <w:t> </w:t>
      </w:r>
      <w:r>
        <w:rPr>
          <w:color w:val="585858"/>
          <w:sz w:val="21"/>
        </w:rPr>
        <w:t>economic</w:t>
      </w:r>
      <w:r>
        <w:rPr>
          <w:color w:val="585858"/>
          <w:spacing w:val="-12"/>
          <w:sz w:val="21"/>
        </w:rPr>
        <w:t> </w:t>
      </w:r>
      <w:r>
        <w:rPr>
          <w:color w:val="585858"/>
          <w:sz w:val="21"/>
        </w:rPr>
        <w:t>vitality through</w:t>
      </w:r>
      <w:r>
        <w:rPr>
          <w:color w:val="585858"/>
          <w:spacing w:val="-6"/>
          <w:sz w:val="21"/>
        </w:rPr>
        <w:t> </w:t>
      </w:r>
      <w:r>
        <w:rPr>
          <w:color w:val="585858"/>
          <w:sz w:val="21"/>
        </w:rPr>
        <w:t>a</w:t>
      </w:r>
      <w:r>
        <w:rPr>
          <w:color w:val="585858"/>
          <w:spacing w:val="-6"/>
          <w:sz w:val="21"/>
        </w:rPr>
        <w:t> </w:t>
      </w:r>
      <w:r>
        <w:rPr>
          <w:color w:val="585858"/>
          <w:sz w:val="21"/>
        </w:rPr>
        <w:t>highly</w:t>
      </w:r>
      <w:r>
        <w:rPr>
          <w:color w:val="585858"/>
          <w:spacing w:val="-7"/>
          <w:sz w:val="21"/>
        </w:rPr>
        <w:t> </w:t>
      </w:r>
      <w:r>
        <w:rPr>
          <w:color w:val="585858"/>
          <w:sz w:val="21"/>
        </w:rPr>
        <w:t>skilled</w:t>
      </w:r>
      <w:r>
        <w:rPr>
          <w:color w:val="585858"/>
          <w:spacing w:val="-6"/>
          <w:sz w:val="21"/>
        </w:rPr>
        <w:t> </w:t>
      </w:r>
      <w:r>
        <w:rPr>
          <w:color w:val="585858"/>
          <w:sz w:val="21"/>
        </w:rPr>
        <w:t>workforce</w:t>
      </w:r>
      <w:r>
        <w:rPr>
          <w:color w:val="585858"/>
          <w:spacing w:val="-5"/>
          <w:sz w:val="21"/>
        </w:rPr>
        <w:t> </w:t>
      </w:r>
      <w:r>
        <w:rPr>
          <w:color w:val="585858"/>
          <w:sz w:val="21"/>
        </w:rPr>
        <w:t>by</w:t>
      </w:r>
      <w:r>
        <w:rPr>
          <w:color w:val="585858"/>
          <w:spacing w:val="-5"/>
          <w:sz w:val="21"/>
        </w:rPr>
        <w:t> </w:t>
      </w:r>
      <w:r>
        <w:rPr>
          <w:color w:val="585858"/>
          <w:sz w:val="21"/>
        </w:rPr>
        <w:t>administering</w:t>
      </w:r>
      <w:r>
        <w:rPr>
          <w:color w:val="585858"/>
          <w:spacing w:val="-6"/>
          <w:sz w:val="21"/>
        </w:rPr>
        <w:t> </w:t>
      </w:r>
      <w:r>
        <w:rPr>
          <w:color w:val="585858"/>
          <w:sz w:val="21"/>
        </w:rPr>
        <w:t>programs</w:t>
      </w:r>
      <w:r>
        <w:rPr>
          <w:color w:val="585858"/>
          <w:spacing w:val="-6"/>
          <w:sz w:val="21"/>
        </w:rPr>
        <w:t> </w:t>
      </w:r>
      <w:r>
        <w:rPr>
          <w:color w:val="585858"/>
          <w:sz w:val="21"/>
        </w:rPr>
        <w:t>and</w:t>
      </w:r>
      <w:r>
        <w:rPr>
          <w:color w:val="585858"/>
          <w:spacing w:val="-6"/>
          <w:sz w:val="21"/>
        </w:rPr>
        <w:t> </w:t>
      </w:r>
      <w:r>
        <w:rPr>
          <w:color w:val="585858"/>
          <w:sz w:val="21"/>
        </w:rPr>
        <w:t>providing</w:t>
      </w:r>
      <w:r>
        <w:rPr>
          <w:color w:val="585858"/>
          <w:spacing w:val="-6"/>
          <w:sz w:val="21"/>
        </w:rPr>
        <w:t> </w:t>
      </w:r>
      <w:r>
        <w:rPr>
          <w:color w:val="585858"/>
          <w:sz w:val="21"/>
        </w:rPr>
        <w:t>services</w:t>
      </w:r>
      <w:r>
        <w:rPr>
          <w:color w:val="585858"/>
          <w:spacing w:val="-6"/>
          <w:sz w:val="21"/>
        </w:rPr>
        <w:t> </w:t>
      </w:r>
      <w:r>
        <w:rPr>
          <w:color w:val="585858"/>
          <w:sz w:val="21"/>
        </w:rPr>
        <w:t>that</w:t>
      </w:r>
      <w:r>
        <w:rPr>
          <w:color w:val="585858"/>
          <w:spacing w:val="-4"/>
          <w:sz w:val="21"/>
        </w:rPr>
        <w:t> </w:t>
      </w:r>
      <w:r>
        <w:rPr>
          <w:color w:val="585858"/>
          <w:sz w:val="21"/>
        </w:rPr>
        <w:t>empower</w:t>
      </w:r>
      <w:r>
        <w:rPr>
          <w:color w:val="585858"/>
          <w:spacing w:val="-5"/>
          <w:sz w:val="21"/>
        </w:rPr>
        <w:t> </w:t>
      </w:r>
      <w:r>
        <w:rPr>
          <w:color w:val="585858"/>
          <w:sz w:val="21"/>
        </w:rPr>
        <w:t>employers and jobseekers. ADWS is a division of the Arkansas Department of Commerce.</w:t>
      </w:r>
    </w:p>
    <w:p>
      <w:pPr>
        <w:spacing w:before="146"/>
        <w:ind w:left="839" w:right="0" w:firstLine="0"/>
        <w:jc w:val="both"/>
        <w:rPr>
          <w:sz w:val="21"/>
        </w:rPr>
      </w:pPr>
      <w:hyperlink r:id="rId14">
        <w:r>
          <w:rPr>
            <w:color w:val="0000FF"/>
            <w:sz w:val="21"/>
            <w:u w:val="single" w:color="0000FF"/>
          </w:rPr>
          <w:t>www.dws.arkansas.gov</w:t>
        </w:r>
      </w:hyperlink>
      <w:r>
        <w:rPr>
          <w:color w:val="0000FF"/>
          <w:spacing w:val="-8"/>
          <w:sz w:val="21"/>
        </w:rPr>
        <w:t> </w:t>
      </w:r>
      <w:r>
        <w:rPr>
          <w:sz w:val="21"/>
        </w:rPr>
        <w:t>|</w:t>
      </w:r>
      <w:r>
        <w:rPr>
          <w:spacing w:val="-6"/>
          <w:sz w:val="21"/>
        </w:rPr>
        <w:t> </w:t>
      </w:r>
      <w:r>
        <w:rPr>
          <w:sz w:val="21"/>
        </w:rPr>
        <w:t>Facebook:</w:t>
      </w:r>
      <w:r>
        <w:rPr>
          <w:spacing w:val="33"/>
          <w:sz w:val="21"/>
        </w:rPr>
        <w:t> </w:t>
      </w:r>
      <w:hyperlink r:id="rId15">
        <w:r>
          <w:rPr>
            <w:color w:val="0000FF"/>
            <w:sz w:val="21"/>
            <w:u w:val="single" w:color="0000FF"/>
          </w:rPr>
          <w:t>facebook.com/arkdws</w:t>
        </w:r>
      </w:hyperlink>
      <w:r>
        <w:rPr>
          <w:color w:val="0000FF"/>
          <w:spacing w:val="-7"/>
          <w:sz w:val="21"/>
        </w:rPr>
        <w:t> </w:t>
      </w:r>
      <w:r>
        <w:rPr>
          <w:sz w:val="21"/>
        </w:rPr>
        <w:t>|</w:t>
      </w:r>
      <w:r>
        <w:rPr>
          <w:spacing w:val="-8"/>
          <w:sz w:val="21"/>
        </w:rPr>
        <w:t> </w:t>
      </w:r>
      <w:r>
        <w:rPr>
          <w:sz w:val="21"/>
        </w:rPr>
        <w:t>Twitter:</w:t>
      </w:r>
      <w:r>
        <w:rPr>
          <w:spacing w:val="-8"/>
          <w:sz w:val="21"/>
        </w:rPr>
        <w:t> </w:t>
      </w:r>
      <w:hyperlink r:id="rId16">
        <w:r>
          <w:rPr>
            <w:color w:val="0000FF"/>
            <w:spacing w:val="-2"/>
            <w:sz w:val="21"/>
            <w:u w:val="single" w:color="0000FF"/>
          </w:rPr>
          <w:t>@ArkansasDWS</w:t>
        </w:r>
      </w:hyperlink>
    </w:p>
    <w:p>
      <w:pPr>
        <w:pStyle w:val="BodyText"/>
        <w:rPr>
          <w:sz w:val="20"/>
        </w:rPr>
      </w:pPr>
    </w:p>
    <w:p>
      <w:pPr>
        <w:pStyle w:val="BodyText"/>
        <w:spacing w:before="3"/>
        <w:rPr>
          <w:sz w:val="17"/>
        </w:rPr>
      </w:pPr>
      <w:r>
        <w:rPr/>
        <w:drawing>
          <wp:anchor distT="0" distB="0" distL="0" distR="0" allowOverlap="1" layoutInCell="1" locked="0" behindDoc="0" simplePos="0" relativeHeight="4">
            <wp:simplePos x="0" y="0"/>
            <wp:positionH relativeFrom="page">
              <wp:posOffset>949168</wp:posOffset>
            </wp:positionH>
            <wp:positionV relativeFrom="paragraph">
              <wp:posOffset>149346</wp:posOffset>
            </wp:positionV>
            <wp:extent cx="2248590" cy="382428"/>
            <wp:effectExtent l="0" t="0" r="0" b="0"/>
            <wp:wrapTopAndBottom/>
            <wp:docPr id="9" name="image7.png"/>
            <wp:cNvGraphicFramePr>
              <a:graphicFrameLocks noChangeAspect="1"/>
            </wp:cNvGraphicFramePr>
            <a:graphic>
              <a:graphicData uri="http://schemas.openxmlformats.org/drawingml/2006/picture">
                <pic:pic>
                  <pic:nvPicPr>
                    <pic:cNvPr id="10" name="image7.png"/>
                    <pic:cNvPicPr/>
                  </pic:nvPicPr>
                  <pic:blipFill>
                    <a:blip r:embed="rId17" cstate="print"/>
                    <a:stretch>
                      <a:fillRect/>
                    </a:stretch>
                  </pic:blipFill>
                  <pic:spPr>
                    <a:xfrm>
                      <a:off x="0" y="0"/>
                      <a:ext cx="2248590" cy="382428"/>
                    </a:xfrm>
                    <a:prstGeom prst="rect">
                      <a:avLst/>
                    </a:prstGeom>
                  </pic:spPr>
                </pic:pic>
              </a:graphicData>
            </a:graphic>
          </wp:anchor>
        </w:drawing>
      </w:r>
    </w:p>
    <w:p>
      <w:pPr>
        <w:spacing w:before="23"/>
        <w:ind w:left="840" w:right="0" w:firstLine="0"/>
        <w:jc w:val="both"/>
        <w:rPr>
          <w:b/>
          <w:sz w:val="21"/>
        </w:rPr>
      </w:pPr>
      <w:r>
        <w:rPr>
          <w:b/>
          <w:color w:val="585858"/>
          <w:sz w:val="21"/>
        </w:rPr>
        <w:t>About</w:t>
      </w:r>
      <w:r>
        <w:rPr>
          <w:b/>
          <w:color w:val="585858"/>
          <w:spacing w:val="-4"/>
          <w:sz w:val="21"/>
        </w:rPr>
        <w:t> </w:t>
      </w:r>
      <w:r>
        <w:rPr>
          <w:b/>
          <w:color w:val="585858"/>
          <w:sz w:val="21"/>
        </w:rPr>
        <w:t>Bureau</w:t>
      </w:r>
      <w:r>
        <w:rPr>
          <w:b/>
          <w:color w:val="585858"/>
          <w:spacing w:val="-5"/>
          <w:sz w:val="21"/>
        </w:rPr>
        <w:t> </w:t>
      </w:r>
      <w:r>
        <w:rPr>
          <w:b/>
          <w:color w:val="585858"/>
          <w:sz w:val="21"/>
        </w:rPr>
        <w:t>of</w:t>
      </w:r>
      <w:r>
        <w:rPr>
          <w:b/>
          <w:color w:val="585858"/>
          <w:spacing w:val="-5"/>
          <w:sz w:val="21"/>
        </w:rPr>
        <w:t> </w:t>
      </w:r>
      <w:r>
        <w:rPr>
          <w:b/>
          <w:color w:val="585858"/>
          <w:sz w:val="21"/>
        </w:rPr>
        <w:t>Labor</w:t>
      </w:r>
      <w:r>
        <w:rPr>
          <w:b/>
          <w:color w:val="585858"/>
          <w:spacing w:val="-7"/>
          <w:sz w:val="21"/>
        </w:rPr>
        <w:t> </w:t>
      </w:r>
      <w:r>
        <w:rPr>
          <w:b/>
          <w:color w:val="585858"/>
          <w:sz w:val="21"/>
        </w:rPr>
        <w:t>Statistics</w:t>
      </w:r>
      <w:r>
        <w:rPr>
          <w:b/>
          <w:color w:val="585858"/>
          <w:spacing w:val="-4"/>
          <w:sz w:val="21"/>
        </w:rPr>
        <w:t> </w:t>
      </w:r>
      <w:r>
        <w:rPr>
          <w:b/>
          <w:color w:val="585858"/>
          <w:spacing w:val="-2"/>
          <w:sz w:val="21"/>
        </w:rPr>
        <w:t>(BLS)</w:t>
      </w:r>
    </w:p>
    <w:p>
      <w:pPr>
        <w:spacing w:line="259" w:lineRule="auto" w:before="0"/>
        <w:ind w:left="840" w:right="835" w:firstLine="0"/>
        <w:jc w:val="both"/>
        <w:rPr>
          <w:sz w:val="21"/>
        </w:rPr>
      </w:pPr>
      <w:r>
        <w:rPr>
          <w:sz w:val="21"/>
        </w:rPr>
        <w:t>The Bureau of Labor Statistics measures labor market activity, working conditions, price changes, and productivity In the U.S. economy to support public and private decision making.</w:t>
      </w:r>
    </w:p>
    <w:p>
      <w:pPr>
        <w:pStyle w:val="BodyText"/>
        <w:rPr>
          <w:sz w:val="20"/>
        </w:rPr>
      </w:pPr>
    </w:p>
    <w:p>
      <w:pPr>
        <w:pStyle w:val="BodyText"/>
        <w:spacing w:before="10"/>
        <w:rPr>
          <w:sz w:val="28"/>
        </w:rPr>
      </w:pPr>
    </w:p>
    <w:p>
      <w:pPr>
        <w:spacing w:before="0"/>
        <w:ind w:left="840" w:right="0" w:firstLine="0"/>
        <w:jc w:val="both"/>
        <w:rPr>
          <w:b/>
          <w:sz w:val="21"/>
        </w:rPr>
      </w:pPr>
      <w:r>
        <w:rPr>
          <w:b/>
          <w:color w:val="585858"/>
          <w:sz w:val="21"/>
        </w:rPr>
        <w:t>About</w:t>
      </w:r>
      <w:r>
        <w:rPr>
          <w:b/>
          <w:color w:val="585858"/>
          <w:spacing w:val="-6"/>
          <w:sz w:val="21"/>
        </w:rPr>
        <w:t> </w:t>
      </w:r>
      <w:r>
        <w:rPr>
          <w:b/>
          <w:color w:val="585858"/>
          <w:sz w:val="21"/>
        </w:rPr>
        <w:t>Local</w:t>
      </w:r>
      <w:r>
        <w:rPr>
          <w:b/>
          <w:color w:val="585858"/>
          <w:spacing w:val="-6"/>
          <w:sz w:val="21"/>
        </w:rPr>
        <w:t> </w:t>
      </w:r>
      <w:r>
        <w:rPr>
          <w:b/>
          <w:color w:val="585858"/>
          <w:sz w:val="21"/>
        </w:rPr>
        <w:t>Area</w:t>
      </w:r>
      <w:r>
        <w:rPr>
          <w:b/>
          <w:color w:val="585858"/>
          <w:spacing w:val="-7"/>
          <w:sz w:val="21"/>
        </w:rPr>
        <w:t> </w:t>
      </w:r>
      <w:r>
        <w:rPr>
          <w:b/>
          <w:color w:val="585858"/>
          <w:sz w:val="21"/>
        </w:rPr>
        <w:t>Unemployment</w:t>
      </w:r>
      <w:r>
        <w:rPr>
          <w:b/>
          <w:color w:val="585858"/>
          <w:spacing w:val="-7"/>
          <w:sz w:val="21"/>
        </w:rPr>
        <w:t> </w:t>
      </w:r>
      <w:r>
        <w:rPr>
          <w:b/>
          <w:color w:val="585858"/>
          <w:sz w:val="21"/>
        </w:rPr>
        <w:t>Statistics</w:t>
      </w:r>
      <w:r>
        <w:rPr>
          <w:b/>
          <w:color w:val="585858"/>
          <w:spacing w:val="-6"/>
          <w:sz w:val="21"/>
        </w:rPr>
        <w:t> </w:t>
      </w:r>
      <w:r>
        <w:rPr>
          <w:b/>
          <w:color w:val="585858"/>
          <w:spacing w:val="-2"/>
          <w:sz w:val="21"/>
        </w:rPr>
        <w:t>(LAUS)</w:t>
      </w:r>
    </w:p>
    <w:p>
      <w:pPr>
        <w:spacing w:line="259" w:lineRule="auto" w:before="0"/>
        <w:ind w:left="839" w:right="835" w:firstLine="0"/>
        <w:jc w:val="both"/>
        <w:rPr>
          <w:sz w:val="21"/>
        </w:rPr>
      </w:pPr>
      <w:r>
        <w:rPr>
          <w:sz w:val="21"/>
        </w:rPr>
        <w:t>The</w:t>
      </w:r>
      <w:r>
        <w:rPr>
          <w:spacing w:val="-12"/>
          <w:sz w:val="21"/>
        </w:rPr>
        <w:t> </w:t>
      </w:r>
      <w:r>
        <w:rPr>
          <w:sz w:val="21"/>
        </w:rPr>
        <w:t>LAUS</w:t>
      </w:r>
      <w:r>
        <w:rPr>
          <w:spacing w:val="-12"/>
          <w:sz w:val="21"/>
        </w:rPr>
        <w:t> </w:t>
      </w:r>
      <w:r>
        <w:rPr>
          <w:sz w:val="21"/>
        </w:rPr>
        <w:t>program</w:t>
      </w:r>
      <w:r>
        <w:rPr>
          <w:spacing w:val="-12"/>
          <w:sz w:val="21"/>
        </w:rPr>
        <w:t> </w:t>
      </w:r>
      <w:r>
        <w:rPr>
          <w:sz w:val="21"/>
        </w:rPr>
        <w:t>produces</w:t>
      </w:r>
      <w:r>
        <w:rPr>
          <w:spacing w:val="-12"/>
          <w:sz w:val="21"/>
        </w:rPr>
        <w:t> </w:t>
      </w:r>
      <w:r>
        <w:rPr>
          <w:sz w:val="21"/>
        </w:rPr>
        <w:t>monthly</w:t>
      </w:r>
      <w:r>
        <w:rPr>
          <w:spacing w:val="-12"/>
          <w:sz w:val="21"/>
        </w:rPr>
        <w:t> </w:t>
      </w:r>
      <w:r>
        <w:rPr>
          <w:sz w:val="21"/>
        </w:rPr>
        <w:t>and</w:t>
      </w:r>
      <w:r>
        <w:rPr>
          <w:spacing w:val="-12"/>
          <w:sz w:val="21"/>
        </w:rPr>
        <w:t> </w:t>
      </w:r>
      <w:r>
        <w:rPr>
          <w:sz w:val="21"/>
        </w:rPr>
        <w:t>annual</w:t>
      </w:r>
      <w:r>
        <w:rPr>
          <w:spacing w:val="-12"/>
          <w:sz w:val="21"/>
        </w:rPr>
        <w:t> </w:t>
      </w:r>
      <w:r>
        <w:rPr>
          <w:sz w:val="21"/>
        </w:rPr>
        <w:t>employment,</w:t>
      </w:r>
      <w:r>
        <w:rPr>
          <w:spacing w:val="-11"/>
          <w:sz w:val="21"/>
        </w:rPr>
        <w:t> </w:t>
      </w:r>
      <w:r>
        <w:rPr>
          <w:sz w:val="21"/>
        </w:rPr>
        <w:t>unemployment,</w:t>
      </w:r>
      <w:r>
        <w:rPr>
          <w:spacing w:val="-12"/>
          <w:sz w:val="21"/>
        </w:rPr>
        <w:t> </w:t>
      </w:r>
      <w:r>
        <w:rPr>
          <w:sz w:val="21"/>
        </w:rPr>
        <w:t>and</w:t>
      </w:r>
      <w:r>
        <w:rPr>
          <w:spacing w:val="-12"/>
          <w:sz w:val="21"/>
        </w:rPr>
        <w:t> </w:t>
      </w:r>
      <w:r>
        <w:rPr>
          <w:sz w:val="21"/>
        </w:rPr>
        <w:t>labor</w:t>
      </w:r>
      <w:r>
        <w:rPr>
          <w:spacing w:val="-12"/>
          <w:sz w:val="21"/>
        </w:rPr>
        <w:t> </w:t>
      </w:r>
      <w:r>
        <w:rPr>
          <w:sz w:val="21"/>
        </w:rPr>
        <w:t>force</w:t>
      </w:r>
      <w:r>
        <w:rPr>
          <w:spacing w:val="-12"/>
          <w:sz w:val="21"/>
        </w:rPr>
        <w:t> </w:t>
      </w:r>
      <w:r>
        <w:rPr>
          <w:sz w:val="21"/>
        </w:rPr>
        <w:t>data</w:t>
      </w:r>
      <w:r>
        <w:rPr>
          <w:spacing w:val="-12"/>
          <w:sz w:val="21"/>
        </w:rPr>
        <w:t> </w:t>
      </w:r>
      <w:r>
        <w:rPr>
          <w:sz w:val="21"/>
        </w:rPr>
        <w:t>for</w:t>
      </w:r>
      <w:r>
        <w:rPr>
          <w:spacing w:val="-12"/>
          <w:sz w:val="21"/>
        </w:rPr>
        <w:t> </w:t>
      </w:r>
      <w:r>
        <w:rPr>
          <w:sz w:val="21"/>
        </w:rPr>
        <w:t>Census regions and divisions, States, counties, metropolitan areas, and many cities, by place of residence.</w:t>
      </w:r>
    </w:p>
    <w:p>
      <w:pPr>
        <w:pStyle w:val="BodyText"/>
        <w:rPr>
          <w:sz w:val="20"/>
        </w:rPr>
      </w:pPr>
    </w:p>
    <w:p>
      <w:pPr>
        <w:pStyle w:val="BodyText"/>
        <w:spacing w:before="10"/>
        <w:rPr>
          <w:sz w:val="28"/>
        </w:rPr>
      </w:pPr>
    </w:p>
    <w:p>
      <w:pPr>
        <w:spacing w:before="0"/>
        <w:ind w:left="840" w:right="0" w:firstLine="0"/>
        <w:jc w:val="both"/>
        <w:rPr>
          <w:b/>
          <w:sz w:val="21"/>
        </w:rPr>
      </w:pPr>
      <w:r>
        <w:rPr>
          <w:b/>
          <w:color w:val="585858"/>
          <w:sz w:val="21"/>
        </w:rPr>
        <w:t>About</w:t>
      </w:r>
      <w:r>
        <w:rPr>
          <w:b/>
          <w:color w:val="585858"/>
          <w:spacing w:val="-7"/>
          <w:sz w:val="21"/>
        </w:rPr>
        <w:t> </w:t>
      </w:r>
      <w:r>
        <w:rPr>
          <w:b/>
          <w:color w:val="585858"/>
          <w:sz w:val="21"/>
        </w:rPr>
        <w:t>Current</w:t>
      </w:r>
      <w:r>
        <w:rPr>
          <w:b/>
          <w:color w:val="585858"/>
          <w:spacing w:val="-7"/>
          <w:sz w:val="21"/>
        </w:rPr>
        <w:t> </w:t>
      </w:r>
      <w:r>
        <w:rPr>
          <w:b/>
          <w:color w:val="585858"/>
          <w:sz w:val="21"/>
        </w:rPr>
        <w:t>Employment</w:t>
      </w:r>
      <w:r>
        <w:rPr>
          <w:b/>
          <w:color w:val="585858"/>
          <w:spacing w:val="-7"/>
          <w:sz w:val="21"/>
        </w:rPr>
        <w:t> </w:t>
      </w:r>
      <w:r>
        <w:rPr>
          <w:b/>
          <w:color w:val="585858"/>
          <w:sz w:val="21"/>
        </w:rPr>
        <w:t>Statistics</w:t>
      </w:r>
      <w:r>
        <w:rPr>
          <w:b/>
          <w:color w:val="585858"/>
          <w:spacing w:val="-6"/>
          <w:sz w:val="21"/>
        </w:rPr>
        <w:t> </w:t>
      </w:r>
      <w:r>
        <w:rPr>
          <w:b/>
          <w:color w:val="585858"/>
          <w:spacing w:val="-4"/>
          <w:sz w:val="21"/>
        </w:rPr>
        <w:t>(CES)</w:t>
      </w:r>
    </w:p>
    <w:p>
      <w:pPr>
        <w:spacing w:before="1"/>
        <w:ind w:left="839" w:right="835" w:firstLine="0"/>
        <w:jc w:val="both"/>
        <w:rPr>
          <w:sz w:val="21"/>
        </w:rPr>
      </w:pPr>
      <w:r>
        <w:rPr>
          <w:sz w:val="21"/>
        </w:rPr>
        <w:t>The CES program produces detailed industry estimates of</w:t>
      </w:r>
      <w:r>
        <w:rPr>
          <w:spacing w:val="-1"/>
          <w:sz w:val="21"/>
        </w:rPr>
        <w:t> </w:t>
      </w:r>
      <w:r>
        <w:rPr>
          <w:sz w:val="21"/>
        </w:rPr>
        <w:t>employment,</w:t>
      </w:r>
      <w:r>
        <w:rPr>
          <w:spacing w:val="-2"/>
          <w:sz w:val="21"/>
        </w:rPr>
        <w:t> </w:t>
      </w:r>
      <w:r>
        <w:rPr>
          <w:sz w:val="21"/>
        </w:rPr>
        <w:t>hours, and</w:t>
      </w:r>
      <w:r>
        <w:rPr>
          <w:spacing w:val="-2"/>
          <w:sz w:val="21"/>
        </w:rPr>
        <w:t> </w:t>
      </w:r>
      <w:r>
        <w:rPr>
          <w:sz w:val="21"/>
        </w:rPr>
        <w:t>earnings</w:t>
      </w:r>
      <w:r>
        <w:rPr>
          <w:spacing w:val="-3"/>
          <w:sz w:val="21"/>
        </w:rPr>
        <w:t> </w:t>
      </w:r>
      <w:r>
        <w:rPr>
          <w:sz w:val="21"/>
        </w:rPr>
        <w:t>of workers on nonfarm payrolls. CES State and Metro Area produces data for all 50 States, the District of Columbia, Puerto Rico, the Virgin Islands, and about 450 metropolitan areas and divisions.</w:t>
      </w:r>
    </w:p>
    <w:sectPr>
      <w:pgSz w:w="12240" w:h="15840"/>
      <w:pgMar w:top="12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39"/>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5"/>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31"/>
      <w:ind w:left="840" w:right="113"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before="30" w:line="249" w:lineRule="exact"/>
      <w:ind w:right="93"/>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zoe.calkins@arkansas.gov" TargetMode="External"/><Relationship Id="rId8" Type="http://schemas.openxmlformats.org/officeDocument/2006/relationships/hyperlink" Target="https://www.bls.gov/cps/definitions.htm"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yperlink" Target="http://www.discover.arkansas.gov/"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www.dws.arkansas.gov/" TargetMode="External"/><Relationship Id="rId15" Type="http://schemas.openxmlformats.org/officeDocument/2006/relationships/hyperlink" Target="https://www.facebook.com/arkdws" TargetMode="External"/><Relationship Id="rId16" Type="http://schemas.openxmlformats.org/officeDocument/2006/relationships/hyperlink" Target="https://twitter.com/ArkansasDWS" TargetMode="External"/><Relationship Id="rId17" Type="http://schemas.openxmlformats.org/officeDocument/2006/relationships/image" Target="media/image7.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2023-05-19T14:23:01Z</dcterms:created>
  <dcterms:modified xsi:type="dcterms:W3CDTF">2023-05-19T14:23:01Z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2023-05-16T00:00:00Z</vt:filetime>
  </property>
  <property fmtid="{D5CDD505-2E9C-101B-9397-08002B2CF9AE}" pid="4" name="Creator">
    <vt:lpwstr>Acrobat PDFMaker 23 for Word</vt:lpwstr>
  </property>
  <property fmtid="{D5CDD505-2E9C-101B-9397-08002B2CF9AE}" pid="5" name="LastSaved">
    <vt:filetime>2023-05-19T00:00:00Z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23.1.206</vt:lpwstr>
  </property>
  <property fmtid="{D5CDD505-2E9C-101B-9397-08002B2CF9AE}" pid="9" name="SourceModified">
    <vt:lpwstr>D:20230516191700</vt:lpwstr>
  </property>
</Properties>
</file>