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2E7F1A" w:rsidRDefault="002E7F1A" w:rsidP="002E7F1A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1247775</wp:posOffset>
                </wp:positionH>
                <wp:positionV relativeFrom="margin">
                  <wp:posOffset>695325</wp:posOffset>
                </wp:positionV>
                <wp:extent cx="5553075" cy="20288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2028825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217F3A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28040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85</w:t>
                              </w:r>
                              <w:r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Customer Service Representatives</w:t>
                              </w:r>
                              <w:r w:rsidR="00887CA9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(43-4051)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615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Insurance Claims and Policy Processing Clerks</w:t>
                              </w:r>
                              <w:r w:rsidR="00887CA9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(43-9041)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22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>Biggest Loser</w:t>
                              </w:r>
                              <w:r w:rsidR="000429F7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:   </w:t>
                              </w:r>
                              <w:r w:rsid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Legal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Secretaries </w:t>
                              </w:r>
                              <w:r w:rsid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(43-6012) – 54 jobs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Loser:   </w:t>
                              </w:r>
                              <w:r w:rsidR="002E7F1A" w:rsidRP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Word Processors and Typists</w:t>
                              </w:r>
                              <w:r w:rsidR="00887CA9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(43-90</w:t>
                              </w:r>
                              <w:r w:rsid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22</w:t>
                              </w:r>
                              <w:r w:rsidR="00887CA9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E7F1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141B4B" w:rsidRPr="00217F3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141B4B" w:rsidRDefault="00141B4B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141B4B" w:rsidRDefault="00141B4B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141B4B" w:rsidRDefault="00141B4B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141B4B" w:rsidRDefault="00141B4B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217F3A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17F3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217F3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217F3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217F3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217F3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98.25pt;margin-top:54.75pt;width:437.25pt;height:159.75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217F3A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1.</w:t>
                        </w:r>
                        <w:r w:rsidR="0028040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85</w:t>
                        </w:r>
                        <w:r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Customer Service Representatives</w:t>
                        </w:r>
                        <w:r w:rsidR="00887CA9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(43-4051)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615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Insurance Claims and Policy Processing Clerks</w:t>
                        </w:r>
                        <w:r w:rsidR="00887CA9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(43-9041)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10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>Biggest Loser</w:t>
                        </w:r>
                        <w:r w:rsidR="000429F7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:   </w:t>
                        </w:r>
                        <w:r w:rsid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Legal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Secretaries </w:t>
                        </w:r>
                        <w:r w:rsid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(43-6012) – 54 jobs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Loser:   </w:t>
                        </w:r>
                        <w:r w:rsidR="002E7F1A" w:rsidRP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Word Processors and Typists</w:t>
                        </w:r>
                        <w:r w:rsidR="00887CA9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(43-90</w:t>
                        </w:r>
                        <w:r w:rsid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  <w:r w:rsidR="00887CA9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2E7F1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12</w:t>
                        </w:r>
                        <w:r w:rsidR="00141B4B" w:rsidRPr="00217F3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</w:p>
                      <w:p w:rsidR="00141B4B" w:rsidRDefault="00141B4B" w:rsidP="000429F7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141B4B" w:rsidRDefault="00141B4B" w:rsidP="000429F7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141B4B" w:rsidRDefault="00141B4B" w:rsidP="000429F7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141B4B" w:rsidRDefault="00141B4B" w:rsidP="000429F7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217F3A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17F3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217F3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217F3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217F3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217F3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17F3A" w:rsidRPr="00217F3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77227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3A" w:rsidRPr="00217F3A" w:rsidRDefault="00217F3A" w:rsidP="00217F3A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17F3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Office and Administrative Support Occupations (43-0000)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.25pt;margin-top:0;width:533.2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" fillcolor="#823b0b [1605]">
                <v:textbox>
                  <w:txbxContent>
                    <w:p w:rsidR="00217F3A" w:rsidRPr="00217F3A" w:rsidRDefault="00217F3A" w:rsidP="00217F3A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217F3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Office and Administrative Support Occupations (43-0000)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19B0" w:rsidRPr="004419B0">
        <w:rPr>
          <w:rFonts w:ascii="Times New Roman" w:hAnsi="Times New Roman" w:cs="Times New Roman"/>
          <w:b/>
          <w:sz w:val="24"/>
          <w:szCs w:val="24"/>
        </w:rPr>
        <w:t>Office and Administrati</w:t>
      </w:r>
      <w:r w:rsidR="004419B0">
        <w:rPr>
          <w:rFonts w:ascii="Times New Roman" w:hAnsi="Times New Roman" w:cs="Times New Roman"/>
          <w:b/>
          <w:sz w:val="24"/>
          <w:szCs w:val="24"/>
        </w:rPr>
        <w:t>v</w:t>
      </w:r>
      <w:r w:rsidR="004419B0" w:rsidRPr="004419B0">
        <w:rPr>
          <w:rFonts w:ascii="Times New Roman" w:hAnsi="Times New Roman" w:cs="Times New Roman"/>
          <w:b/>
          <w:sz w:val="24"/>
          <w:szCs w:val="24"/>
        </w:rPr>
        <w:t>e</w:t>
      </w:r>
      <w:r w:rsidR="004419B0">
        <w:rPr>
          <w:rFonts w:ascii="Times New Roman" w:hAnsi="Times New Roman" w:cs="Times New Roman"/>
          <w:b/>
          <w:sz w:val="24"/>
          <w:szCs w:val="24"/>
        </w:rPr>
        <w:t xml:space="preserve"> Support</w:t>
      </w:r>
      <w:r w:rsidR="00773BB3" w:rsidRPr="004419B0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4419B0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 w:rsidRPr="004419B0">
        <w:rPr>
          <w:rFonts w:ascii="Times New Roman" w:hAnsi="Times New Roman" w:cs="Times New Roman"/>
          <w:sz w:val="24"/>
          <w:szCs w:val="24"/>
        </w:rPr>
        <w:t xml:space="preserve">add </w:t>
      </w:r>
      <w:r w:rsidR="0028040B">
        <w:rPr>
          <w:rFonts w:ascii="Times New Roman" w:hAnsi="Times New Roman" w:cs="Times New Roman"/>
          <w:sz w:val="24"/>
          <w:szCs w:val="24"/>
        </w:rPr>
        <w:t>3</w:t>
      </w:r>
      <w:r w:rsidR="00773BB3" w:rsidRPr="004419B0">
        <w:rPr>
          <w:rFonts w:ascii="Times New Roman" w:hAnsi="Times New Roman" w:cs="Times New Roman"/>
          <w:sz w:val="24"/>
          <w:szCs w:val="24"/>
        </w:rPr>
        <w:t>,</w:t>
      </w:r>
      <w:r w:rsidR="0028040B">
        <w:rPr>
          <w:rFonts w:ascii="Times New Roman" w:hAnsi="Times New Roman" w:cs="Times New Roman"/>
          <w:sz w:val="24"/>
          <w:szCs w:val="24"/>
        </w:rPr>
        <w:t>382</w:t>
      </w:r>
      <w:r w:rsidR="00773BB3" w:rsidRPr="004419B0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4419B0">
        <w:rPr>
          <w:rFonts w:ascii="Times New Roman" w:hAnsi="Times New Roman" w:cs="Times New Roman"/>
          <w:sz w:val="24"/>
          <w:szCs w:val="24"/>
        </w:rPr>
        <w:t>1</w:t>
      </w:r>
      <w:r w:rsidR="00773BB3" w:rsidRPr="004419B0">
        <w:rPr>
          <w:rFonts w:ascii="Times New Roman" w:hAnsi="Times New Roman" w:cs="Times New Roman"/>
          <w:sz w:val="24"/>
          <w:szCs w:val="24"/>
        </w:rPr>
        <w:t>.</w:t>
      </w:r>
      <w:r w:rsidR="0028040B">
        <w:rPr>
          <w:rFonts w:ascii="Times New Roman" w:hAnsi="Times New Roman" w:cs="Times New Roman"/>
          <w:sz w:val="24"/>
          <w:szCs w:val="24"/>
        </w:rPr>
        <w:t>85</w:t>
      </w:r>
      <w:r w:rsidR="00773BB3" w:rsidRPr="004419B0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4419B0">
        <w:rPr>
          <w:rFonts w:ascii="Times New Roman" w:hAnsi="Times New Roman" w:cs="Times New Roman"/>
          <w:sz w:val="24"/>
          <w:szCs w:val="24"/>
        </w:rPr>
        <w:t>The major group is estimated to have the most annual openings with 22,0</w:t>
      </w:r>
      <w:r w:rsidR="0028040B">
        <w:rPr>
          <w:rFonts w:ascii="Times New Roman" w:hAnsi="Times New Roman" w:cs="Times New Roman"/>
          <w:sz w:val="24"/>
          <w:szCs w:val="24"/>
        </w:rPr>
        <w:t>03</w:t>
      </w:r>
      <w:r w:rsidR="004419B0">
        <w:rPr>
          <w:rFonts w:ascii="Times New Roman" w:hAnsi="Times New Roman" w:cs="Times New Roman"/>
          <w:sz w:val="24"/>
          <w:szCs w:val="24"/>
        </w:rPr>
        <w:t xml:space="preserve">.  </w:t>
      </w:r>
      <w:r w:rsidR="00773BB3" w:rsidRPr="004419B0">
        <w:rPr>
          <w:rFonts w:ascii="Times New Roman" w:hAnsi="Times New Roman" w:cs="Times New Roman"/>
          <w:sz w:val="24"/>
          <w:szCs w:val="24"/>
        </w:rPr>
        <w:t>Of th</w:t>
      </w:r>
      <w:r w:rsidR="00773BB3">
        <w:rPr>
          <w:rFonts w:ascii="Times New Roman" w:hAnsi="Times New Roman" w:cs="Times New Roman"/>
          <w:sz w:val="24"/>
          <w:szCs w:val="24"/>
        </w:rPr>
        <w:t>e</w:t>
      </w:r>
      <w:r w:rsidR="004419B0">
        <w:rPr>
          <w:rFonts w:ascii="Times New Roman" w:hAnsi="Times New Roman" w:cs="Times New Roman"/>
          <w:sz w:val="24"/>
          <w:szCs w:val="24"/>
        </w:rPr>
        <w:t>se, 9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28040B">
        <w:rPr>
          <w:rFonts w:ascii="Times New Roman" w:hAnsi="Times New Roman" w:cs="Times New Roman"/>
          <w:sz w:val="24"/>
          <w:szCs w:val="24"/>
        </w:rPr>
        <w:t>436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4419B0">
        <w:rPr>
          <w:rFonts w:ascii="Times New Roman" w:hAnsi="Times New Roman" w:cs="Times New Roman"/>
          <w:sz w:val="24"/>
          <w:szCs w:val="24"/>
        </w:rPr>
        <w:t xml:space="preserve"> are expected to be created</w:t>
      </w:r>
      <w:r w:rsidR="00676798">
        <w:rPr>
          <w:rFonts w:ascii="Times New Roman" w:hAnsi="Times New Roman" w:cs="Times New Roman"/>
          <w:sz w:val="24"/>
          <w:szCs w:val="24"/>
        </w:rPr>
        <w:t xml:space="preserve"> </w:t>
      </w:r>
      <w:r w:rsidR="00773BB3">
        <w:rPr>
          <w:rFonts w:ascii="Times New Roman" w:hAnsi="Times New Roman" w:cs="Times New Roman"/>
          <w:sz w:val="24"/>
          <w:szCs w:val="24"/>
        </w:rPr>
        <w:t xml:space="preserve">from employees leaving the workforce, while </w:t>
      </w:r>
      <w:r w:rsidR="004419B0">
        <w:rPr>
          <w:rFonts w:ascii="Times New Roman" w:hAnsi="Times New Roman" w:cs="Times New Roman"/>
          <w:sz w:val="24"/>
          <w:szCs w:val="24"/>
        </w:rPr>
        <w:t>1</w:t>
      </w:r>
      <w:r w:rsidR="0028040B">
        <w:rPr>
          <w:rFonts w:ascii="Times New Roman" w:hAnsi="Times New Roman" w:cs="Times New Roman"/>
          <w:sz w:val="24"/>
          <w:szCs w:val="24"/>
        </w:rPr>
        <w:t>0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28040B">
        <w:rPr>
          <w:rFonts w:ascii="Times New Roman" w:hAnsi="Times New Roman" w:cs="Times New Roman"/>
          <w:sz w:val="24"/>
          <w:szCs w:val="24"/>
        </w:rPr>
        <w:t>876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1,</w:t>
      </w:r>
      <w:r w:rsidR="0028040B">
        <w:rPr>
          <w:rFonts w:ascii="Times New Roman" w:hAnsi="Times New Roman" w:cs="Times New Roman"/>
          <w:sz w:val="24"/>
          <w:szCs w:val="24"/>
        </w:rPr>
        <w:t>691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4419B0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4419B0" w:rsidRPr="004419B0">
        <w:rPr>
          <w:rFonts w:ascii="Times New Roman" w:hAnsi="Times New Roman" w:cs="Times New Roman"/>
          <w:b/>
          <w:i/>
          <w:sz w:val="24"/>
          <w:szCs w:val="24"/>
        </w:rPr>
        <w:t>Supervisors of Office and Administrative Support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28040B">
        <w:rPr>
          <w:rFonts w:ascii="Times New Roman" w:hAnsi="Times New Roman" w:cs="Times New Roman"/>
          <w:sz w:val="24"/>
          <w:szCs w:val="24"/>
        </w:rPr>
        <w:t>328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28040B">
        <w:rPr>
          <w:rFonts w:ascii="Times New Roman" w:hAnsi="Times New Roman" w:cs="Times New Roman"/>
          <w:sz w:val="24"/>
          <w:szCs w:val="24"/>
        </w:rPr>
        <w:t>2</w:t>
      </w:r>
      <w:r w:rsidR="004419B0">
        <w:rPr>
          <w:rFonts w:ascii="Times New Roman" w:hAnsi="Times New Roman" w:cs="Times New Roman"/>
          <w:sz w:val="24"/>
          <w:szCs w:val="24"/>
        </w:rPr>
        <w:t>.</w:t>
      </w:r>
      <w:r w:rsidR="0028040B">
        <w:rPr>
          <w:rFonts w:ascii="Times New Roman" w:hAnsi="Times New Roman" w:cs="Times New Roman"/>
          <w:sz w:val="24"/>
          <w:szCs w:val="24"/>
        </w:rPr>
        <w:t>1</w:t>
      </w:r>
      <w:r w:rsidR="004419B0">
        <w:rPr>
          <w:rFonts w:ascii="Times New Roman" w:hAnsi="Times New Roman" w:cs="Times New Roman"/>
          <w:sz w:val="24"/>
          <w:szCs w:val="24"/>
        </w:rPr>
        <w:t>7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The occupational family is expecting around </w:t>
      </w:r>
      <w:r w:rsidR="004419B0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4419B0">
        <w:rPr>
          <w:rFonts w:ascii="Times New Roman" w:hAnsi="Times New Roman" w:cs="Times New Roman"/>
          <w:sz w:val="24"/>
          <w:szCs w:val="24"/>
        </w:rPr>
        <w:t>6</w:t>
      </w:r>
      <w:r w:rsidR="0028040B">
        <w:rPr>
          <w:rFonts w:ascii="Times New Roman" w:hAnsi="Times New Roman" w:cs="Times New Roman"/>
          <w:sz w:val="24"/>
          <w:szCs w:val="24"/>
        </w:rPr>
        <w:t>37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4419B0" w:rsidRPr="004419B0">
        <w:rPr>
          <w:rFonts w:ascii="Times New Roman" w:hAnsi="Times New Roman" w:cs="Times New Roman"/>
          <w:b/>
          <w:i/>
          <w:sz w:val="24"/>
          <w:szCs w:val="24"/>
        </w:rPr>
        <w:t>Communications Equipment Operators</w:t>
      </w:r>
      <w:r w:rsidR="004419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19B0" w:rsidRPr="004419B0">
        <w:rPr>
          <w:rFonts w:ascii="Times New Roman" w:hAnsi="Times New Roman" w:cs="Times New Roman"/>
          <w:sz w:val="24"/>
          <w:szCs w:val="24"/>
        </w:rPr>
        <w:t>occupational family</w:t>
      </w:r>
      <w:r w:rsidR="004419B0">
        <w:rPr>
          <w:rFonts w:ascii="Times New Roman" w:hAnsi="Times New Roman" w:cs="Times New Roman"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</w:t>
      </w:r>
      <w:r w:rsidR="004419B0">
        <w:rPr>
          <w:rFonts w:ascii="Times New Roman" w:hAnsi="Times New Roman" w:cs="Times New Roman"/>
          <w:sz w:val="24"/>
          <w:szCs w:val="24"/>
        </w:rPr>
        <w:t xml:space="preserve">lose </w:t>
      </w:r>
      <w:r w:rsidR="0028040B">
        <w:rPr>
          <w:rFonts w:ascii="Times New Roman" w:hAnsi="Times New Roman" w:cs="Times New Roman"/>
          <w:sz w:val="24"/>
          <w:szCs w:val="24"/>
        </w:rPr>
        <w:t>15</w:t>
      </w:r>
      <w:r w:rsidR="004419B0">
        <w:rPr>
          <w:rFonts w:ascii="Times New Roman" w:hAnsi="Times New Roman" w:cs="Times New Roman"/>
          <w:sz w:val="24"/>
          <w:szCs w:val="24"/>
        </w:rPr>
        <w:t xml:space="preserve"> net jobs, or 2.</w:t>
      </w:r>
      <w:r w:rsidR="0028040B">
        <w:rPr>
          <w:rFonts w:ascii="Times New Roman" w:hAnsi="Times New Roman" w:cs="Times New Roman"/>
          <w:sz w:val="24"/>
          <w:szCs w:val="24"/>
        </w:rPr>
        <w:t>12</w:t>
      </w:r>
      <w:r w:rsidR="004419B0">
        <w:rPr>
          <w:rFonts w:ascii="Times New Roman" w:hAnsi="Times New Roman" w:cs="Times New Roman"/>
          <w:sz w:val="24"/>
          <w:szCs w:val="24"/>
        </w:rPr>
        <w:t xml:space="preserve"> percent of its workforce</w:t>
      </w:r>
      <w:r w:rsidR="007F7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E28">
        <w:rPr>
          <w:rFonts w:ascii="Times New Roman" w:hAnsi="Times New Roman" w:cs="Times New Roman"/>
          <w:sz w:val="24"/>
          <w:szCs w:val="24"/>
        </w:rPr>
        <w:t xml:space="preserve"> </w:t>
      </w:r>
      <w:r w:rsidR="007F7E28" w:rsidRPr="007F7E28">
        <w:rPr>
          <w:rFonts w:ascii="Times New Roman" w:hAnsi="Times New Roman" w:cs="Times New Roman"/>
          <w:sz w:val="24"/>
          <w:szCs w:val="24"/>
        </w:rPr>
        <w:t>Switchboard Operators, Including Answering Service</w:t>
      </w:r>
      <w:r w:rsidR="007F7E28">
        <w:rPr>
          <w:rFonts w:ascii="Times New Roman" w:hAnsi="Times New Roman" w:cs="Times New Roman"/>
          <w:sz w:val="24"/>
          <w:szCs w:val="24"/>
        </w:rPr>
        <w:t xml:space="preserve"> could lose </w:t>
      </w:r>
      <w:r w:rsidR="0028040B">
        <w:rPr>
          <w:rFonts w:ascii="Times New Roman" w:hAnsi="Times New Roman" w:cs="Times New Roman"/>
          <w:sz w:val="24"/>
          <w:szCs w:val="24"/>
        </w:rPr>
        <w:t>14</w:t>
      </w:r>
      <w:r w:rsidR="007F7E28">
        <w:rPr>
          <w:rFonts w:ascii="Times New Roman" w:hAnsi="Times New Roman" w:cs="Times New Roman"/>
          <w:sz w:val="24"/>
          <w:szCs w:val="24"/>
        </w:rPr>
        <w:t xml:space="preserve"> of those jobs.  Overall, the occupational family is estimated to have 83 annual job openings.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7F7E28" w:rsidRPr="007F7E28">
        <w:rPr>
          <w:rFonts w:ascii="Times New Roman" w:hAnsi="Times New Roman" w:cs="Times New Roman"/>
          <w:b/>
          <w:i/>
          <w:sz w:val="24"/>
          <w:szCs w:val="24"/>
        </w:rPr>
        <w:t>Financial Clerks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28040B">
        <w:rPr>
          <w:rFonts w:ascii="Times New Roman" w:hAnsi="Times New Roman" w:cs="Times New Roman"/>
          <w:sz w:val="24"/>
          <w:szCs w:val="24"/>
        </w:rPr>
        <w:t>457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7F7E28">
        <w:rPr>
          <w:rFonts w:ascii="Times New Roman" w:hAnsi="Times New Roman" w:cs="Times New Roman"/>
          <w:sz w:val="24"/>
          <w:szCs w:val="24"/>
        </w:rPr>
        <w:t>1</w:t>
      </w:r>
      <w:r w:rsidRPr="000D6138">
        <w:rPr>
          <w:rFonts w:ascii="Times New Roman" w:hAnsi="Times New Roman" w:cs="Times New Roman"/>
          <w:sz w:val="24"/>
          <w:szCs w:val="24"/>
        </w:rPr>
        <w:t>.</w:t>
      </w:r>
      <w:r w:rsidR="0028040B">
        <w:rPr>
          <w:rFonts w:ascii="Times New Roman" w:hAnsi="Times New Roman" w:cs="Times New Roman"/>
          <w:sz w:val="24"/>
          <w:szCs w:val="24"/>
        </w:rPr>
        <w:t>79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7F7E28" w:rsidRPr="007F7E28">
        <w:rPr>
          <w:rFonts w:ascii="Times New Roman" w:hAnsi="Times New Roman" w:cs="Times New Roman"/>
          <w:sz w:val="24"/>
          <w:szCs w:val="24"/>
        </w:rPr>
        <w:t>Billing and Posting Clerks</w:t>
      </w:r>
      <w:r w:rsidR="007F7E28">
        <w:rPr>
          <w:rFonts w:ascii="Times New Roman" w:hAnsi="Times New Roman" w:cs="Times New Roman"/>
          <w:sz w:val="24"/>
          <w:szCs w:val="24"/>
        </w:rPr>
        <w:t xml:space="preserve"> is forecast to gain 16</w:t>
      </w:r>
      <w:r w:rsidR="0028040B">
        <w:rPr>
          <w:rFonts w:ascii="Times New Roman" w:hAnsi="Times New Roman" w:cs="Times New Roman"/>
          <w:sz w:val="24"/>
          <w:szCs w:val="24"/>
        </w:rPr>
        <w:t>6</w:t>
      </w:r>
      <w:r w:rsidR="007F7E28">
        <w:rPr>
          <w:rFonts w:ascii="Times New Roman" w:hAnsi="Times New Roman" w:cs="Times New Roman"/>
          <w:sz w:val="24"/>
          <w:szCs w:val="24"/>
        </w:rPr>
        <w:t xml:space="preserve"> jobs, or 3.</w:t>
      </w:r>
      <w:r w:rsidR="0028040B">
        <w:rPr>
          <w:rFonts w:ascii="Times New Roman" w:hAnsi="Times New Roman" w:cs="Times New Roman"/>
          <w:sz w:val="24"/>
          <w:szCs w:val="24"/>
        </w:rPr>
        <w:t>69</w:t>
      </w:r>
      <w:r w:rsidR="007F7E2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7F7E28" w:rsidRPr="007F7E28">
        <w:rPr>
          <w:rFonts w:ascii="Times New Roman" w:hAnsi="Times New Roman" w:cs="Times New Roman"/>
          <w:sz w:val="24"/>
          <w:szCs w:val="24"/>
        </w:rPr>
        <w:t>Bookkeeping, Accounting, and Auditing Clerks</w:t>
      </w:r>
      <w:r w:rsidR="007F7E28">
        <w:rPr>
          <w:rFonts w:ascii="Times New Roman" w:hAnsi="Times New Roman" w:cs="Times New Roman"/>
          <w:sz w:val="24"/>
          <w:szCs w:val="24"/>
        </w:rPr>
        <w:t xml:space="preserve"> could see more job openings with 1,</w:t>
      </w:r>
      <w:r w:rsidR="0028040B">
        <w:rPr>
          <w:rFonts w:ascii="Times New Roman" w:hAnsi="Times New Roman" w:cs="Times New Roman"/>
          <w:sz w:val="24"/>
          <w:szCs w:val="24"/>
        </w:rPr>
        <w:t>8</w:t>
      </w:r>
      <w:r w:rsidR="007F7E28">
        <w:rPr>
          <w:rFonts w:ascii="Times New Roman" w:hAnsi="Times New Roman" w:cs="Times New Roman"/>
          <w:sz w:val="24"/>
          <w:szCs w:val="24"/>
        </w:rPr>
        <w:t>8</w:t>
      </w:r>
      <w:r w:rsidR="0028040B">
        <w:rPr>
          <w:rFonts w:ascii="Times New Roman" w:hAnsi="Times New Roman" w:cs="Times New Roman"/>
          <w:sz w:val="24"/>
          <w:szCs w:val="24"/>
        </w:rPr>
        <w:t>9</w:t>
      </w:r>
      <w:r w:rsidR="007F7E28">
        <w:rPr>
          <w:rFonts w:ascii="Times New Roman" w:hAnsi="Times New Roman" w:cs="Times New Roman"/>
          <w:sz w:val="24"/>
          <w:szCs w:val="24"/>
        </w:rPr>
        <w:t xml:space="preserve"> annually</w:t>
      </w:r>
      <w:r w:rsidR="0028040B">
        <w:rPr>
          <w:rFonts w:ascii="Times New Roman" w:hAnsi="Times New Roman" w:cs="Times New Roman"/>
          <w:sz w:val="24"/>
          <w:szCs w:val="24"/>
        </w:rPr>
        <w:t xml:space="preserve">.  </w:t>
      </w:r>
      <w:r w:rsidR="007F7E28">
        <w:rPr>
          <w:rFonts w:ascii="Times New Roman" w:hAnsi="Times New Roman" w:cs="Times New Roman"/>
          <w:sz w:val="24"/>
          <w:szCs w:val="24"/>
        </w:rPr>
        <w:t xml:space="preserve">The occupation is expecting </w:t>
      </w:r>
      <w:r w:rsidR="0028040B">
        <w:rPr>
          <w:rFonts w:ascii="Times New Roman" w:hAnsi="Times New Roman" w:cs="Times New Roman"/>
          <w:sz w:val="24"/>
          <w:szCs w:val="24"/>
        </w:rPr>
        <w:t>248</w:t>
      </w:r>
      <w:r w:rsidR="007F7E28">
        <w:rPr>
          <w:rFonts w:ascii="Times New Roman" w:hAnsi="Times New Roman" w:cs="Times New Roman"/>
          <w:sz w:val="24"/>
          <w:szCs w:val="24"/>
        </w:rPr>
        <w:t xml:space="preserve"> new jobs.  A</w:t>
      </w:r>
      <w:r w:rsidRPr="004D0738">
        <w:rPr>
          <w:rFonts w:ascii="Times New Roman" w:hAnsi="Times New Roman" w:cs="Times New Roman"/>
          <w:sz w:val="24"/>
          <w:szCs w:val="24"/>
        </w:rPr>
        <w:t>s a whole</w:t>
      </w:r>
      <w:r w:rsidR="007F7E28">
        <w:rPr>
          <w:rFonts w:ascii="Times New Roman" w:hAnsi="Times New Roman" w:cs="Times New Roman"/>
          <w:sz w:val="24"/>
          <w:szCs w:val="24"/>
        </w:rPr>
        <w:t xml:space="preserve">, the occupational family anticipates </w:t>
      </w:r>
      <w:r w:rsidR="0028040B">
        <w:rPr>
          <w:rFonts w:ascii="Times New Roman" w:hAnsi="Times New Roman" w:cs="Times New Roman"/>
          <w:sz w:val="24"/>
          <w:szCs w:val="24"/>
        </w:rPr>
        <w:t>2</w:t>
      </w:r>
      <w:r w:rsidR="007F7E28">
        <w:rPr>
          <w:rFonts w:ascii="Times New Roman" w:hAnsi="Times New Roman" w:cs="Times New Roman"/>
          <w:sz w:val="24"/>
          <w:szCs w:val="24"/>
        </w:rPr>
        <w:t>,</w:t>
      </w:r>
      <w:r w:rsidR="0028040B">
        <w:rPr>
          <w:rFonts w:ascii="Times New Roman" w:hAnsi="Times New Roman" w:cs="Times New Roman"/>
          <w:sz w:val="24"/>
          <w:szCs w:val="24"/>
        </w:rPr>
        <w:t>97</w:t>
      </w:r>
      <w:r w:rsidR="007F7E28">
        <w:rPr>
          <w:rFonts w:ascii="Times New Roman" w:hAnsi="Times New Roman" w:cs="Times New Roman"/>
          <w:sz w:val="24"/>
          <w:szCs w:val="24"/>
        </w:rPr>
        <w:t>8 job openings annually</w:t>
      </w:r>
    </w:p>
    <w:p w:rsidR="00A03CEC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7F7E28" w:rsidRPr="007F7E28">
        <w:rPr>
          <w:rFonts w:ascii="Times New Roman" w:hAnsi="Times New Roman" w:cs="Times New Roman"/>
          <w:b/>
          <w:i/>
          <w:sz w:val="24"/>
          <w:szCs w:val="24"/>
        </w:rPr>
        <w:t>Information and Record Clerks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occupational family is expected to be the top growing occupational family in the</w:t>
      </w:r>
      <w:r w:rsidRPr="000D6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E28">
        <w:rPr>
          <w:rFonts w:ascii="Times New Roman" w:hAnsi="Times New Roman" w:cs="Times New Roman"/>
          <w:b/>
          <w:sz w:val="24"/>
          <w:szCs w:val="24"/>
        </w:rPr>
        <w:t xml:space="preserve">Office and Administrative Support </w:t>
      </w:r>
      <w:r w:rsidRPr="000D6138">
        <w:rPr>
          <w:rFonts w:ascii="Times New Roman" w:hAnsi="Times New Roman" w:cs="Times New Roman"/>
          <w:b/>
          <w:sz w:val="24"/>
          <w:szCs w:val="24"/>
        </w:rPr>
        <w:t>Occupations</w:t>
      </w:r>
      <w:r>
        <w:rPr>
          <w:rFonts w:ascii="Times New Roman" w:hAnsi="Times New Roman" w:cs="Times New Roman"/>
          <w:sz w:val="24"/>
          <w:szCs w:val="24"/>
        </w:rPr>
        <w:t xml:space="preserve"> major group adding </w:t>
      </w:r>
      <w:r w:rsidR="0028040B">
        <w:rPr>
          <w:rFonts w:ascii="Times New Roman" w:hAnsi="Times New Roman" w:cs="Times New Roman"/>
          <w:sz w:val="24"/>
          <w:szCs w:val="24"/>
        </w:rPr>
        <w:t>1,180</w:t>
      </w:r>
      <w:r>
        <w:rPr>
          <w:rFonts w:ascii="Times New Roman" w:hAnsi="Times New Roman" w:cs="Times New Roman"/>
          <w:sz w:val="24"/>
          <w:szCs w:val="24"/>
        </w:rPr>
        <w:t xml:space="preserve"> new jobs between 20</w:t>
      </w:r>
      <w:r w:rsidR="0028040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="0028040B">
        <w:rPr>
          <w:rFonts w:ascii="Times New Roman" w:hAnsi="Times New Roman" w:cs="Times New Roman"/>
          <w:sz w:val="24"/>
          <w:szCs w:val="24"/>
        </w:rPr>
        <w:t>20</w:t>
      </w:r>
      <w:r w:rsidR="007F7E28">
        <w:rPr>
          <w:rFonts w:ascii="Times New Roman" w:hAnsi="Times New Roman" w:cs="Times New Roman"/>
          <w:sz w:val="24"/>
          <w:szCs w:val="24"/>
        </w:rPr>
        <w:t>, a gain of 2.</w:t>
      </w:r>
      <w:r w:rsidR="0028040B">
        <w:rPr>
          <w:rFonts w:ascii="Times New Roman" w:hAnsi="Times New Roman" w:cs="Times New Roman"/>
          <w:sz w:val="24"/>
          <w:szCs w:val="24"/>
        </w:rPr>
        <w:t>90</w:t>
      </w:r>
      <w:r w:rsidR="007F7E2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7F7E28" w:rsidRPr="007F7E28">
        <w:rPr>
          <w:rFonts w:ascii="Times New Roman" w:hAnsi="Times New Roman" w:cs="Times New Roman"/>
          <w:sz w:val="24"/>
          <w:szCs w:val="24"/>
        </w:rPr>
        <w:t>Customer Service Representatives</w:t>
      </w:r>
      <w:r w:rsidR="007F7E28">
        <w:rPr>
          <w:rFonts w:ascii="Times New Roman" w:hAnsi="Times New Roman" w:cs="Times New Roman"/>
          <w:sz w:val="24"/>
          <w:szCs w:val="24"/>
        </w:rPr>
        <w:t xml:space="preserve"> is forecast</w:t>
      </w:r>
      <w:r w:rsidR="0028040B">
        <w:rPr>
          <w:rFonts w:ascii="Times New Roman" w:hAnsi="Times New Roman" w:cs="Times New Roman"/>
          <w:sz w:val="24"/>
          <w:szCs w:val="24"/>
        </w:rPr>
        <w:t>ed</w:t>
      </w:r>
      <w:r w:rsidR="007F7E28">
        <w:rPr>
          <w:rFonts w:ascii="Times New Roman" w:hAnsi="Times New Roman" w:cs="Times New Roman"/>
          <w:sz w:val="24"/>
          <w:szCs w:val="24"/>
        </w:rPr>
        <w:t xml:space="preserve"> to add </w:t>
      </w:r>
      <w:r w:rsidR="0028040B">
        <w:rPr>
          <w:rFonts w:ascii="Times New Roman" w:hAnsi="Times New Roman" w:cs="Times New Roman"/>
          <w:sz w:val="24"/>
          <w:szCs w:val="24"/>
        </w:rPr>
        <w:t>615</w:t>
      </w:r>
      <w:r w:rsidR="007F7E28">
        <w:rPr>
          <w:rFonts w:ascii="Times New Roman" w:hAnsi="Times New Roman" w:cs="Times New Roman"/>
          <w:sz w:val="24"/>
          <w:szCs w:val="24"/>
        </w:rPr>
        <w:t xml:space="preserve"> new jobs to its ranks and have 2,</w:t>
      </w:r>
      <w:r w:rsidR="0028040B">
        <w:rPr>
          <w:rFonts w:ascii="Times New Roman" w:hAnsi="Times New Roman" w:cs="Times New Roman"/>
          <w:sz w:val="24"/>
          <w:szCs w:val="24"/>
        </w:rPr>
        <w:t>525</w:t>
      </w:r>
      <w:r w:rsidR="007F7E28">
        <w:rPr>
          <w:rFonts w:ascii="Times New Roman" w:hAnsi="Times New Roman" w:cs="Times New Roman"/>
          <w:sz w:val="24"/>
          <w:szCs w:val="24"/>
        </w:rPr>
        <w:t xml:space="preserve"> annual job openings.</w:t>
      </w:r>
      <w:r w:rsidR="00A03CEC">
        <w:rPr>
          <w:rFonts w:ascii="Times New Roman" w:hAnsi="Times New Roman" w:cs="Times New Roman"/>
          <w:sz w:val="24"/>
          <w:szCs w:val="24"/>
        </w:rPr>
        <w:t xml:space="preserve">  </w:t>
      </w:r>
      <w:r w:rsidR="00A03CEC" w:rsidRPr="00A03CEC">
        <w:rPr>
          <w:rFonts w:ascii="Times New Roman" w:hAnsi="Times New Roman" w:cs="Times New Roman"/>
          <w:sz w:val="24"/>
          <w:szCs w:val="24"/>
        </w:rPr>
        <w:t>Receptionists and Information Clerks</w:t>
      </w:r>
      <w:r w:rsidR="00A03CEC">
        <w:rPr>
          <w:rFonts w:ascii="Times New Roman" w:hAnsi="Times New Roman" w:cs="Times New Roman"/>
          <w:sz w:val="24"/>
          <w:szCs w:val="24"/>
        </w:rPr>
        <w:t xml:space="preserve"> could add an additional </w:t>
      </w:r>
      <w:r w:rsidR="0028040B">
        <w:rPr>
          <w:rFonts w:ascii="Times New Roman" w:hAnsi="Times New Roman" w:cs="Times New Roman"/>
          <w:sz w:val="24"/>
          <w:szCs w:val="24"/>
        </w:rPr>
        <w:t>29</w:t>
      </w:r>
      <w:r w:rsidR="005C3224">
        <w:rPr>
          <w:rFonts w:ascii="Times New Roman" w:hAnsi="Times New Roman" w:cs="Times New Roman"/>
          <w:sz w:val="24"/>
          <w:szCs w:val="24"/>
        </w:rPr>
        <w:t>3</w:t>
      </w:r>
      <w:r w:rsidR="00A03C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CEC" w:rsidRPr="00A03CEC">
        <w:rPr>
          <w:rFonts w:ascii="Times New Roman" w:hAnsi="Times New Roman" w:cs="Times New Roman"/>
          <w:b/>
          <w:i/>
          <w:sz w:val="24"/>
          <w:szCs w:val="24"/>
        </w:rPr>
        <w:t>Information and Records Clerks</w:t>
      </w:r>
      <w:r w:rsidR="00A03CEC">
        <w:rPr>
          <w:rFonts w:ascii="Times New Roman" w:hAnsi="Times New Roman" w:cs="Times New Roman"/>
          <w:sz w:val="24"/>
          <w:szCs w:val="24"/>
        </w:rPr>
        <w:t xml:space="preserve"> as a whole could see 5,</w:t>
      </w:r>
      <w:r w:rsidR="0028040B">
        <w:rPr>
          <w:rFonts w:ascii="Times New Roman" w:hAnsi="Times New Roman" w:cs="Times New Roman"/>
          <w:sz w:val="24"/>
          <w:szCs w:val="24"/>
        </w:rPr>
        <w:t>589</w:t>
      </w:r>
      <w:r w:rsidR="00A03CEC">
        <w:rPr>
          <w:rFonts w:ascii="Times New Roman" w:hAnsi="Times New Roman" w:cs="Times New Roman"/>
          <w:sz w:val="24"/>
          <w:szCs w:val="24"/>
        </w:rPr>
        <w:t xml:space="preserve"> annual job openings between 201</w:t>
      </w:r>
      <w:r w:rsidR="005C3224">
        <w:rPr>
          <w:rFonts w:ascii="Times New Roman" w:hAnsi="Times New Roman" w:cs="Times New Roman"/>
          <w:sz w:val="24"/>
          <w:szCs w:val="24"/>
        </w:rPr>
        <w:t>8</w:t>
      </w:r>
      <w:r w:rsidR="00A03CEC">
        <w:rPr>
          <w:rFonts w:ascii="Times New Roman" w:hAnsi="Times New Roman" w:cs="Times New Roman"/>
          <w:sz w:val="24"/>
          <w:szCs w:val="24"/>
        </w:rPr>
        <w:t xml:space="preserve"> and 20</w:t>
      </w:r>
      <w:r w:rsidR="005C3224">
        <w:rPr>
          <w:rFonts w:ascii="Times New Roman" w:hAnsi="Times New Roman" w:cs="Times New Roman"/>
          <w:sz w:val="24"/>
          <w:szCs w:val="24"/>
        </w:rPr>
        <w:t>20</w:t>
      </w:r>
      <w:r w:rsidR="00A03CEC">
        <w:rPr>
          <w:rFonts w:ascii="Times New Roman" w:hAnsi="Times New Roman" w:cs="Times New Roman"/>
          <w:sz w:val="24"/>
          <w:szCs w:val="24"/>
        </w:rPr>
        <w:t>.</w:t>
      </w:r>
    </w:p>
    <w:p w:rsidR="00A03CEC" w:rsidRDefault="00A03CEC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A03CEC">
        <w:rPr>
          <w:rFonts w:ascii="Times New Roman" w:hAnsi="Times New Roman" w:cs="Times New Roman"/>
          <w:b/>
          <w:i/>
          <w:sz w:val="24"/>
          <w:szCs w:val="24"/>
        </w:rPr>
        <w:t>Material Recording, Scheduling, Dispatching, and Distributing Workers</w:t>
      </w:r>
      <w:r>
        <w:rPr>
          <w:rFonts w:ascii="Times New Roman" w:hAnsi="Times New Roman" w:cs="Times New Roman"/>
          <w:sz w:val="24"/>
          <w:szCs w:val="24"/>
        </w:rPr>
        <w:t xml:space="preserve"> occupational family anticipates </w:t>
      </w:r>
      <w:r w:rsidR="005C3224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new jobs, a 1.</w:t>
      </w:r>
      <w:r w:rsidR="005C322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percent increase.  </w:t>
      </w:r>
      <w:r w:rsidRPr="00A03CEC">
        <w:rPr>
          <w:rFonts w:ascii="Times New Roman" w:hAnsi="Times New Roman" w:cs="Times New Roman"/>
          <w:sz w:val="24"/>
          <w:szCs w:val="24"/>
        </w:rPr>
        <w:t>Stock Clerks and Order Fillers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24">
        <w:rPr>
          <w:rFonts w:ascii="Times New Roman" w:hAnsi="Times New Roman" w:cs="Times New Roman"/>
          <w:sz w:val="24"/>
          <w:szCs w:val="24"/>
        </w:rPr>
        <w:t xml:space="preserve">could see the most gain, with an increase of 184 new jobs, and have 1,975 job openings annually.  </w:t>
      </w:r>
      <w:r w:rsidR="005C3224" w:rsidRPr="005C3224">
        <w:rPr>
          <w:rFonts w:ascii="Times New Roman" w:hAnsi="Times New Roman" w:cs="Times New Roman"/>
          <w:sz w:val="24"/>
          <w:szCs w:val="24"/>
        </w:rPr>
        <w:t>Production, Planning, and Expediting Clerks</w:t>
      </w:r>
      <w:r w:rsidR="005C3224">
        <w:rPr>
          <w:rFonts w:ascii="Times New Roman" w:hAnsi="Times New Roman" w:cs="Times New Roman"/>
          <w:sz w:val="24"/>
          <w:szCs w:val="24"/>
        </w:rPr>
        <w:t xml:space="preserve"> could add an additional 100 jobs to its own workforce.</w:t>
      </w:r>
      <w:r>
        <w:rPr>
          <w:rFonts w:ascii="Times New Roman" w:hAnsi="Times New Roman" w:cs="Times New Roman"/>
          <w:sz w:val="24"/>
          <w:szCs w:val="24"/>
        </w:rPr>
        <w:t xml:space="preserve">  In all, the occupational family could experience </w:t>
      </w:r>
      <w:r w:rsidR="005C32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3224">
        <w:rPr>
          <w:rFonts w:ascii="Times New Roman" w:hAnsi="Times New Roman" w:cs="Times New Roman"/>
          <w:sz w:val="24"/>
          <w:szCs w:val="24"/>
        </w:rPr>
        <w:t>856</w:t>
      </w:r>
      <w:r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276453" w:rsidRDefault="00A03CEC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A03CEC">
        <w:rPr>
          <w:rFonts w:ascii="Times New Roman" w:hAnsi="Times New Roman" w:cs="Times New Roman"/>
          <w:b/>
          <w:i/>
          <w:sz w:val="24"/>
          <w:szCs w:val="24"/>
        </w:rPr>
        <w:t>Secretaries and Administrative Assistants</w:t>
      </w:r>
      <w:r>
        <w:rPr>
          <w:rFonts w:ascii="Times New Roman" w:hAnsi="Times New Roman" w:cs="Times New Roman"/>
          <w:sz w:val="24"/>
          <w:szCs w:val="24"/>
        </w:rPr>
        <w:t xml:space="preserve"> occupational family is forecast to experience a mixed outlook with </w:t>
      </w:r>
      <w:r w:rsidRPr="00A03CEC">
        <w:rPr>
          <w:rFonts w:ascii="Times New Roman" w:hAnsi="Times New Roman" w:cs="Times New Roman"/>
          <w:sz w:val="24"/>
          <w:szCs w:val="24"/>
        </w:rPr>
        <w:t>Medical Secretaries</w:t>
      </w:r>
      <w:r>
        <w:rPr>
          <w:rFonts w:ascii="Times New Roman" w:hAnsi="Times New Roman" w:cs="Times New Roman"/>
          <w:sz w:val="24"/>
          <w:szCs w:val="24"/>
        </w:rPr>
        <w:t xml:space="preserve"> adding </w:t>
      </w:r>
      <w:r w:rsidR="005C3224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 xml:space="preserve"> new jobs, while </w:t>
      </w:r>
      <w:r w:rsidR="005C3224">
        <w:rPr>
          <w:rFonts w:ascii="Times New Roman" w:hAnsi="Times New Roman" w:cs="Times New Roman"/>
          <w:sz w:val="24"/>
          <w:szCs w:val="24"/>
        </w:rPr>
        <w:t xml:space="preserve">Legal Secretaries </w:t>
      </w:r>
      <w:r w:rsidR="0089323A">
        <w:rPr>
          <w:rFonts w:ascii="Times New Roman" w:hAnsi="Times New Roman" w:cs="Times New Roman"/>
          <w:sz w:val="24"/>
          <w:szCs w:val="24"/>
        </w:rPr>
        <w:t xml:space="preserve">are expected to lose </w:t>
      </w:r>
      <w:r w:rsidR="005C3224"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 xml:space="preserve">  The occupational family is slated to have 3,2</w:t>
      </w:r>
      <w:r w:rsidR="005C322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="00276453">
        <w:rPr>
          <w:rFonts w:ascii="Times New Roman" w:hAnsi="Times New Roman" w:cs="Times New Roman"/>
          <w:sz w:val="24"/>
          <w:szCs w:val="24"/>
        </w:rPr>
        <w:t>.</w:t>
      </w:r>
    </w:p>
    <w:p w:rsidR="000D6138" w:rsidRPr="00276453" w:rsidRDefault="00C87CAD" w:rsidP="000D61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76453">
        <w:rPr>
          <w:rFonts w:ascii="Times New Roman" w:hAnsi="Times New Roman" w:cs="Times New Roman"/>
          <w:sz w:val="24"/>
          <w:szCs w:val="24"/>
        </w:rPr>
        <w:t xml:space="preserve">The </w:t>
      </w:r>
      <w:r w:rsidR="00276453" w:rsidRPr="00276453">
        <w:rPr>
          <w:rFonts w:ascii="Times New Roman" w:hAnsi="Times New Roman" w:cs="Times New Roman"/>
          <w:b/>
          <w:i/>
          <w:sz w:val="24"/>
          <w:szCs w:val="24"/>
        </w:rPr>
        <w:t>Other Office and Administrative Support Workers</w:t>
      </w:r>
      <w:r w:rsidR="00276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53" w:rsidRPr="00276453">
        <w:rPr>
          <w:rFonts w:ascii="Times New Roman" w:hAnsi="Times New Roman" w:cs="Times New Roman"/>
          <w:sz w:val="24"/>
          <w:szCs w:val="24"/>
        </w:rPr>
        <w:t xml:space="preserve">occupational family is projected to have </w:t>
      </w:r>
      <w:r w:rsidR="005C3224">
        <w:rPr>
          <w:rFonts w:ascii="Times New Roman" w:hAnsi="Times New Roman" w:cs="Times New Roman"/>
          <w:sz w:val="24"/>
          <w:szCs w:val="24"/>
        </w:rPr>
        <w:t>666</w:t>
      </w:r>
      <w:r w:rsidR="00276453" w:rsidRPr="00276453">
        <w:rPr>
          <w:rFonts w:ascii="Times New Roman" w:hAnsi="Times New Roman" w:cs="Times New Roman"/>
          <w:sz w:val="24"/>
          <w:szCs w:val="24"/>
        </w:rPr>
        <w:t xml:space="preserve"> new jobs, a 1.</w:t>
      </w:r>
      <w:r w:rsidR="005C3224">
        <w:rPr>
          <w:rFonts w:ascii="Times New Roman" w:hAnsi="Times New Roman" w:cs="Times New Roman"/>
          <w:sz w:val="24"/>
          <w:szCs w:val="24"/>
        </w:rPr>
        <w:t>81</w:t>
      </w:r>
      <w:r w:rsidR="00276453" w:rsidRPr="00276453">
        <w:rPr>
          <w:rFonts w:ascii="Times New Roman" w:hAnsi="Times New Roman" w:cs="Times New Roman"/>
          <w:sz w:val="24"/>
          <w:szCs w:val="24"/>
        </w:rPr>
        <w:t xml:space="preserve"> percent gain.</w:t>
      </w:r>
      <w:r w:rsidR="002764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6453" w:rsidRPr="00276453">
        <w:rPr>
          <w:rFonts w:ascii="Times New Roman" w:hAnsi="Times New Roman" w:cs="Times New Roman"/>
          <w:sz w:val="24"/>
          <w:szCs w:val="24"/>
        </w:rPr>
        <w:t xml:space="preserve">Insurance Claims and Policy Processing Clerks is estimated to </w:t>
      </w:r>
      <w:r w:rsidR="00276453">
        <w:rPr>
          <w:rFonts w:ascii="Times New Roman" w:hAnsi="Times New Roman" w:cs="Times New Roman"/>
          <w:sz w:val="24"/>
          <w:szCs w:val="24"/>
        </w:rPr>
        <w:t xml:space="preserve">add </w:t>
      </w:r>
      <w:r w:rsidR="005C3224">
        <w:rPr>
          <w:rFonts w:ascii="Times New Roman" w:hAnsi="Times New Roman" w:cs="Times New Roman"/>
          <w:sz w:val="24"/>
          <w:szCs w:val="24"/>
        </w:rPr>
        <w:t>194</w:t>
      </w:r>
      <w:r w:rsidR="00276453">
        <w:rPr>
          <w:rFonts w:ascii="Times New Roman" w:hAnsi="Times New Roman" w:cs="Times New Roman"/>
          <w:sz w:val="24"/>
          <w:szCs w:val="24"/>
        </w:rPr>
        <w:t xml:space="preserve"> new jobs to the state economy.  Its 10.</w:t>
      </w:r>
      <w:r w:rsidR="005C3224">
        <w:rPr>
          <w:rFonts w:ascii="Times New Roman" w:hAnsi="Times New Roman" w:cs="Times New Roman"/>
          <w:sz w:val="24"/>
          <w:szCs w:val="24"/>
        </w:rPr>
        <w:t>22</w:t>
      </w:r>
      <w:r w:rsidR="00276453">
        <w:rPr>
          <w:rFonts w:ascii="Times New Roman" w:hAnsi="Times New Roman" w:cs="Times New Roman"/>
          <w:sz w:val="24"/>
          <w:szCs w:val="24"/>
        </w:rPr>
        <w:t xml:space="preserve"> percent gain would be the fastest growing in </w:t>
      </w:r>
      <w:r w:rsidR="00276453" w:rsidRPr="00276453">
        <w:rPr>
          <w:rFonts w:ascii="Times New Roman" w:hAnsi="Times New Roman" w:cs="Times New Roman"/>
          <w:b/>
          <w:sz w:val="24"/>
          <w:szCs w:val="24"/>
        </w:rPr>
        <w:t>Office and Administrative Support</w:t>
      </w:r>
      <w:r w:rsidR="00276453">
        <w:rPr>
          <w:rFonts w:ascii="Times New Roman" w:hAnsi="Times New Roman" w:cs="Times New Roman"/>
          <w:sz w:val="24"/>
          <w:szCs w:val="24"/>
        </w:rPr>
        <w:t xml:space="preserve"> and </w:t>
      </w:r>
      <w:r w:rsidR="005C3224">
        <w:rPr>
          <w:rFonts w:ascii="Times New Roman" w:hAnsi="Times New Roman" w:cs="Times New Roman"/>
          <w:sz w:val="24"/>
          <w:szCs w:val="24"/>
        </w:rPr>
        <w:t>fourth</w:t>
      </w:r>
      <w:r w:rsidR="00276453">
        <w:rPr>
          <w:rFonts w:ascii="Times New Roman" w:hAnsi="Times New Roman" w:cs="Times New Roman"/>
          <w:sz w:val="24"/>
          <w:szCs w:val="24"/>
        </w:rPr>
        <w:t xml:space="preserve"> statewide.  </w:t>
      </w:r>
      <w:r w:rsidR="00276453" w:rsidRPr="00276453">
        <w:rPr>
          <w:rFonts w:ascii="Times New Roman" w:hAnsi="Times New Roman" w:cs="Times New Roman"/>
          <w:sz w:val="24"/>
          <w:szCs w:val="24"/>
        </w:rPr>
        <w:t>Office Clerks, General</w:t>
      </w:r>
      <w:r w:rsidR="00276453">
        <w:rPr>
          <w:rFonts w:ascii="Times New Roman" w:hAnsi="Times New Roman" w:cs="Times New Roman"/>
          <w:sz w:val="24"/>
          <w:szCs w:val="24"/>
        </w:rPr>
        <w:t xml:space="preserve"> is also set to experience strong growth adding </w:t>
      </w:r>
      <w:r w:rsidR="005C3224">
        <w:rPr>
          <w:rFonts w:ascii="Times New Roman" w:hAnsi="Times New Roman" w:cs="Times New Roman"/>
          <w:sz w:val="24"/>
          <w:szCs w:val="24"/>
        </w:rPr>
        <w:t>469</w:t>
      </w:r>
      <w:r w:rsidR="00276453">
        <w:rPr>
          <w:rFonts w:ascii="Times New Roman" w:hAnsi="Times New Roman" w:cs="Times New Roman"/>
          <w:sz w:val="24"/>
          <w:szCs w:val="24"/>
        </w:rPr>
        <w:t xml:space="preserve"> jobs to its ranks.  </w:t>
      </w:r>
      <w:r w:rsidR="00276453" w:rsidRPr="00276453">
        <w:rPr>
          <w:rFonts w:ascii="Times New Roman" w:hAnsi="Times New Roman" w:cs="Times New Roman"/>
          <w:sz w:val="24"/>
          <w:szCs w:val="24"/>
        </w:rPr>
        <w:t>Data Entry Keyers</w:t>
      </w:r>
      <w:r w:rsidR="00276453">
        <w:rPr>
          <w:rFonts w:ascii="Times New Roman" w:hAnsi="Times New Roman" w:cs="Times New Roman"/>
          <w:sz w:val="24"/>
          <w:szCs w:val="24"/>
        </w:rPr>
        <w:t xml:space="preserve"> could lose the most out of this group with a cut of </w:t>
      </w:r>
      <w:r w:rsidR="005C3224">
        <w:rPr>
          <w:rFonts w:ascii="Times New Roman" w:hAnsi="Times New Roman" w:cs="Times New Roman"/>
          <w:sz w:val="24"/>
          <w:szCs w:val="24"/>
        </w:rPr>
        <w:t xml:space="preserve">21 jobs, while </w:t>
      </w:r>
      <w:r w:rsidR="005C3224" w:rsidRPr="005C3224">
        <w:rPr>
          <w:rFonts w:ascii="Times New Roman" w:hAnsi="Times New Roman" w:cs="Times New Roman"/>
          <w:sz w:val="24"/>
          <w:szCs w:val="24"/>
        </w:rPr>
        <w:t>Word Processors and Typists</w:t>
      </w:r>
      <w:r w:rsidR="005C3224">
        <w:rPr>
          <w:rFonts w:ascii="Times New Roman" w:hAnsi="Times New Roman" w:cs="Times New Roman"/>
          <w:sz w:val="24"/>
          <w:szCs w:val="24"/>
        </w:rPr>
        <w:t xml:space="preserve"> could lose more than five percent of its workforce.  </w:t>
      </w:r>
      <w:r w:rsidR="00276453">
        <w:rPr>
          <w:rFonts w:ascii="Times New Roman" w:hAnsi="Times New Roman" w:cs="Times New Roman"/>
          <w:sz w:val="24"/>
          <w:szCs w:val="24"/>
        </w:rPr>
        <w:t>In all, 4,5</w:t>
      </w:r>
      <w:r w:rsidR="005C3224">
        <w:rPr>
          <w:rFonts w:ascii="Times New Roman" w:hAnsi="Times New Roman" w:cs="Times New Roman"/>
          <w:sz w:val="24"/>
          <w:szCs w:val="24"/>
        </w:rPr>
        <w:t>73</w:t>
      </w:r>
      <w:r w:rsidR="00276453">
        <w:rPr>
          <w:rFonts w:ascii="Times New Roman" w:hAnsi="Times New Roman" w:cs="Times New Roman"/>
          <w:sz w:val="24"/>
          <w:szCs w:val="24"/>
        </w:rPr>
        <w:t xml:space="preserve"> annual job openings are expected from this occupational family.  </w:t>
      </w:r>
      <w:r w:rsidR="00276453" w:rsidRPr="00276453">
        <w:rPr>
          <w:rFonts w:ascii="Times New Roman" w:hAnsi="Times New Roman" w:cs="Times New Roman"/>
          <w:sz w:val="24"/>
          <w:szCs w:val="24"/>
        </w:rPr>
        <w:t xml:space="preserve">  </w:t>
      </w:r>
      <w:r w:rsidR="00276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CEC" w:rsidRPr="0027645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F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406B04" wp14:editId="22565DC2">
            <wp:extent cx="6005195" cy="4038600"/>
            <wp:effectExtent l="57150" t="57150" r="52705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Pr="00CC2B88" w:rsidRDefault="00490AD7" w:rsidP="003C6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743700" cy="3857625"/>
            <wp:effectExtent l="57150" t="57150" r="57150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30D" w:rsidRDefault="00E2530D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A93823">
        <w:rPr>
          <w:noProof/>
        </w:rPr>
        <w:drawing>
          <wp:inline distT="0" distB="0" distL="0" distR="0" wp14:anchorId="6748F435" wp14:editId="74CD953B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E2530D" w:rsidRDefault="00E2530D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519" w:rsidRDefault="00CD7519" w:rsidP="007B14C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3E02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593E02">
        <w:rPr>
          <w:rFonts w:ascii="Times New Roman" w:hAnsi="Times New Roman" w:cs="Times New Roman"/>
          <w:b/>
          <w:sz w:val="24"/>
          <w:szCs w:val="24"/>
        </w:rPr>
        <w:br/>
      </w:r>
      <w:r w:rsidR="002E2D51" w:rsidRPr="00593E02">
        <w:rPr>
          <w:rFonts w:ascii="Times New Roman" w:hAnsi="Times New Roman" w:cs="Times New Roman"/>
          <w:b/>
          <w:sz w:val="24"/>
          <w:szCs w:val="24"/>
        </w:rPr>
        <w:t>Office and Administrative Support</w:t>
      </w:r>
      <w:r w:rsidR="000D6138" w:rsidRPr="00593E02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2F5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593E02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38,936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40,175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2,351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4,981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10,121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10,235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1,184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12,697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12,941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1,528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15,123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15,320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16,221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1,829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25,120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25,466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1,496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2,975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34,188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34,977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2.31%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2,066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4,216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5,198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5,191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-0.13%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569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11,375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0.25%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1,260</w:t>
            </w:r>
          </w:p>
        </w:tc>
      </w:tr>
      <w:tr w:rsidR="00593E02" w:rsidRPr="00593E02" w:rsidTr="00593E02">
        <w:trPr>
          <w:trHeight w:val="255"/>
        </w:trPr>
        <w:tc>
          <w:tcPr>
            <w:tcW w:w="2252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9,472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9,424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-0.51%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593E02" w:rsidRPr="00593E02" w:rsidRDefault="00593E02" w:rsidP="005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3E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1,016</w:t>
            </w:r>
          </w:p>
        </w:tc>
      </w:tr>
    </w:tbl>
    <w:p w:rsidR="00593E02" w:rsidRPr="00217F3A" w:rsidRDefault="00593E02" w:rsidP="007B14C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CAD" w:rsidRPr="00D935FB" w:rsidRDefault="00C87CAD" w:rsidP="00CD7519">
      <w:pPr>
        <w:rPr>
          <w:rFonts w:ascii="Times New Roman" w:hAnsi="Times New Roman" w:cs="Times New Roman"/>
          <w:sz w:val="24"/>
          <w:szCs w:val="24"/>
        </w:rPr>
      </w:pPr>
    </w:p>
    <w:sectPr w:rsidR="00C87CAD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41B4B"/>
    <w:rsid w:val="00154FDA"/>
    <w:rsid w:val="00182A12"/>
    <w:rsid w:val="00217F3A"/>
    <w:rsid w:val="00276453"/>
    <w:rsid w:val="0028040B"/>
    <w:rsid w:val="0029218E"/>
    <w:rsid w:val="002E0A24"/>
    <w:rsid w:val="002E2D51"/>
    <w:rsid w:val="002E7F1A"/>
    <w:rsid w:val="003369C7"/>
    <w:rsid w:val="003A4556"/>
    <w:rsid w:val="003A6F63"/>
    <w:rsid w:val="003C6F5D"/>
    <w:rsid w:val="00421A90"/>
    <w:rsid w:val="00440DB3"/>
    <w:rsid w:val="004419B0"/>
    <w:rsid w:val="00457BC4"/>
    <w:rsid w:val="00490AD7"/>
    <w:rsid w:val="004D0738"/>
    <w:rsid w:val="00504AAD"/>
    <w:rsid w:val="00580031"/>
    <w:rsid w:val="00593E02"/>
    <w:rsid w:val="005C3224"/>
    <w:rsid w:val="005F6BBA"/>
    <w:rsid w:val="006468CA"/>
    <w:rsid w:val="00676798"/>
    <w:rsid w:val="00752A6F"/>
    <w:rsid w:val="00773BB3"/>
    <w:rsid w:val="007B14CF"/>
    <w:rsid w:val="007B4A77"/>
    <w:rsid w:val="007F7E28"/>
    <w:rsid w:val="00887CA9"/>
    <w:rsid w:val="0089323A"/>
    <w:rsid w:val="00A03CEC"/>
    <w:rsid w:val="00A304F2"/>
    <w:rsid w:val="00A903FA"/>
    <w:rsid w:val="00AF4491"/>
    <w:rsid w:val="00BE0E5F"/>
    <w:rsid w:val="00C8302D"/>
    <w:rsid w:val="00C87CAD"/>
    <w:rsid w:val="00CC2B88"/>
    <w:rsid w:val="00CD7519"/>
    <w:rsid w:val="00CE1B52"/>
    <w:rsid w:val="00CF53CC"/>
    <w:rsid w:val="00D257C2"/>
    <w:rsid w:val="00D935FB"/>
    <w:rsid w:val="00E2530D"/>
    <w:rsid w:val="00E61819"/>
    <w:rsid w:val="00EC493B"/>
    <w:rsid w:val="00EF6C8A"/>
    <w:rsid w:val="00EF7503"/>
    <w:rsid w:val="00F127EA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Office and Administrative Support Occupations</a:t>
            </a:r>
          </a:p>
        </c:rich>
      </c:tx>
      <c:layout>
        <c:manualLayout>
          <c:xMode val="edge"/>
          <c:yMode val="edge"/>
          <c:x val="0.22959470924757647"/>
          <c:y val="2.51101866983608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Office and Administrative Support Workers (43-1000)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148615490421599E-3"/>
                  <c:y val="8.175085425642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2.1700000000000001E-2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Communications Equipment Operators (43-2000)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259348780514205E-3"/>
                  <c:y val="9.9755113158025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-2.12E-2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Financial Clerks (43-3000)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6263E-3"/>
                  <c:y val="6.0386272470658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1.7899999999999999E-2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Information and Record Clerks (43-4000)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7543075172036758E-17"/>
                  <c:y val="0.10571184995737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2.9000000000000001E-2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Material Recording, Scheduling, Dispatching, and Distributing Workers (43-5000)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1.7899999999999999E-2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Secretaries and Administrative Assistants (43-6000)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492862429945995E-2"/>
                  <c:y val="-7.232704402515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5.4000000000000003E-3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 Office and Administrative Support Workers (43-9000)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1148355715343132E-3"/>
                  <c:y val="6.60377358490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Office and Administrative Support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1.8100000000000002E-2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3423472"/>
        <c:axId val="623424032"/>
        <c:axId val="0"/>
      </c:bar3DChart>
      <c:catAx>
        <c:axId val="623423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23424032"/>
        <c:crosses val="autoZero"/>
        <c:auto val="1"/>
        <c:lblAlgn val="ctr"/>
        <c:lblOffset val="100"/>
        <c:noMultiLvlLbl val="0"/>
      </c:catAx>
      <c:valAx>
        <c:axId val="62342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42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7152881796511187E-2"/>
          <c:y val="0.65416555241915519"/>
          <c:w val="0.84376111017210931"/>
          <c:h val="0.325373891942752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1</a:t>
            </a:r>
          </a:p>
        </c:rich>
      </c:tx>
      <c:layout>
        <c:manualLayout>
          <c:xMode val="edge"/>
          <c:yMode val="edge"/>
          <c:x val="0.15002048986300956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5285142387504594"/>
          <c:y val="0.20009591393668383"/>
          <c:w val="0.71581976495362321"/>
          <c:h val="0.6235626842940928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Financial Clerks (43-3000)</c:v>
                </c:pt>
                <c:pt idx="1">
                  <c:v>Information and Record Clerks      (43-4000)</c:v>
                </c:pt>
                <c:pt idx="2">
                  <c:v>Material Recording, Scheduling, Dispatching, and Distributing Workers (43-4000)</c:v>
                </c:pt>
                <c:pt idx="3">
                  <c:v>Secretaries and Administrative Assistants (43-6000)</c:v>
                </c:pt>
                <c:pt idx="4">
                  <c:v>Other Office and Administrative Support Workers (43-9000)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1398</c:v>
                </c:pt>
                <c:pt idx="1">
                  <c:v>2142</c:v>
                </c:pt>
                <c:pt idx="2">
                  <c:v>1540</c:v>
                </c:pt>
                <c:pt idx="3">
                  <c:v>1624</c:v>
                </c:pt>
                <c:pt idx="4">
                  <c:v>2096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Financial Clerks (43-3000)</c:v>
                </c:pt>
                <c:pt idx="1">
                  <c:v>Information and Record Clerks      (43-4000)</c:v>
                </c:pt>
                <c:pt idx="2">
                  <c:v>Material Recording, Scheduling, Dispatching, and Distributing Workers (43-4000)</c:v>
                </c:pt>
                <c:pt idx="3">
                  <c:v>Secretaries and Administrative Assistants (43-6000)</c:v>
                </c:pt>
                <c:pt idx="4">
                  <c:v>Other Office and Administrative Support Workers (43-9000)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1352</c:v>
                </c:pt>
                <c:pt idx="1">
                  <c:v>2857</c:v>
                </c:pt>
                <c:pt idx="2">
                  <c:v>2014</c:v>
                </c:pt>
                <c:pt idx="3">
                  <c:v>1580</c:v>
                </c:pt>
                <c:pt idx="4">
                  <c:v>2144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Financial Clerks (43-3000)</c:v>
                </c:pt>
                <c:pt idx="1">
                  <c:v>Information and Record Clerks      (43-4000)</c:v>
                </c:pt>
                <c:pt idx="2">
                  <c:v>Material Recording, Scheduling, Dispatching, and Distributing Workers (43-4000)</c:v>
                </c:pt>
                <c:pt idx="3">
                  <c:v>Secretaries and Administrative Assistants (43-6000)</c:v>
                </c:pt>
                <c:pt idx="4">
                  <c:v>Other Office and Administrative Support Workers (43-9000)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228</c:v>
                </c:pt>
                <c:pt idx="1">
                  <c:v>590</c:v>
                </c:pt>
                <c:pt idx="2">
                  <c:v>302</c:v>
                </c:pt>
                <c:pt idx="3">
                  <c:v>81</c:v>
                </c:pt>
                <c:pt idx="4">
                  <c:v>333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1"/>
              <c:layout>
                <c:manualLayout>
                  <c:x val="-3.1828294190499054E-2"/>
                  <c:y val="1.72735815430484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072225820257318E-2"/>
                      <c:h val="5.002482097145263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9305389856570959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Financial Clerks (43-3000)</c:v>
                </c:pt>
                <c:pt idx="1">
                  <c:v>Information and Record Clerks      (43-4000)</c:v>
                </c:pt>
                <c:pt idx="2">
                  <c:v>Material Recording, Scheduling, Dispatching, and Distributing Workers (43-4000)</c:v>
                </c:pt>
                <c:pt idx="3">
                  <c:v>Secretaries and Administrative Assistants (43-6000)</c:v>
                </c:pt>
                <c:pt idx="4">
                  <c:v>Other Office and Administrative Support Workers (43-9000)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2978</c:v>
                </c:pt>
                <c:pt idx="1">
                  <c:v>5589</c:v>
                </c:pt>
                <c:pt idx="2">
                  <c:v>3856</c:v>
                </c:pt>
                <c:pt idx="3">
                  <c:v>3285</c:v>
                </c:pt>
                <c:pt idx="4">
                  <c:v>4573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3427952"/>
        <c:axId val="623428512"/>
      </c:barChart>
      <c:catAx>
        <c:axId val="6234279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3428512"/>
        <c:crossesAt val="0"/>
        <c:auto val="1"/>
        <c:lblAlgn val="ctr"/>
        <c:lblOffset val="100"/>
        <c:tickLblSkip val="1"/>
        <c:noMultiLvlLbl val="0"/>
      </c:catAx>
      <c:valAx>
        <c:axId val="623428512"/>
        <c:scaling>
          <c:orientation val="minMax"/>
          <c:max val="6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3427952"/>
        <c:crosses val="autoZero"/>
        <c:crossBetween val="between"/>
        <c:majorUnit val="2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28065446364658964"/>
          <c:y val="0.85101066070444908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2</a:t>
            </a:r>
          </a:p>
        </c:rich>
      </c:tx>
      <c:layout>
        <c:manualLayout>
          <c:xMode val="edge"/>
          <c:yMode val="edge"/>
          <c:x val="0.15386842269716286"/>
          <c:y val="2.95108484953811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3378015248093988E-2"/>
          <c:y val="0.29177680039570608"/>
          <c:w val="0.69273174186560016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Communications Equipment Operators (43-2000)</c:v>
                </c:pt>
                <c:pt idx="1">
                  <c:v>Supervisors of Office and Administrative Support Workers (43-1000)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44</c:v>
                </c:pt>
                <c:pt idx="1">
                  <c:v>592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Communications Equipment Operators (43-2000)</c:v>
                </c:pt>
                <c:pt idx="1">
                  <c:v>Supervisors of Office and Administrative Support Workers (43-1000)</c:v>
                </c:pt>
              </c:strCache>
            </c:strRef>
          </c:cat>
          <c:val>
            <c:numRef>
              <c:f>Sheet1!$C$2:$C$3</c:f>
              <c:numCache>
                <c:formatCode>#,##0</c:formatCode>
                <c:ptCount val="2"/>
                <c:pt idx="0">
                  <c:v>47</c:v>
                </c:pt>
                <c:pt idx="1">
                  <c:v>881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Communications Equipment Operators (43-2000)</c:v>
                </c:pt>
                <c:pt idx="1">
                  <c:v>Supervisors of Office and Administrative Support Workers (43-1000)</c:v>
                </c:pt>
              </c:strCache>
            </c:strRef>
          </c:cat>
          <c:val>
            <c:numRef>
              <c:f>Sheet1!$D$2:$D$3</c:f>
              <c:numCache>
                <c:formatCode>#,##0</c:formatCode>
                <c:ptCount val="2"/>
                <c:pt idx="0">
                  <c:v>-8</c:v>
                </c:pt>
                <c:pt idx="1">
                  <c:v>164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1"/>
              <c:layout>
                <c:manualLayout>
                  <c:x val="-0.21656433570803657"/>
                  <c:y val="3.395853107495813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Communications Equipment Operators (43-2000)</c:v>
                </c:pt>
                <c:pt idx="1">
                  <c:v>Supervisors of Office and Administrative Support Workers (43-1000)</c:v>
                </c:pt>
              </c:strCache>
            </c:strRef>
          </c:cat>
          <c:val>
            <c:numRef>
              <c:f>Sheet1!$E$2:$E$3</c:f>
              <c:numCache>
                <c:formatCode>#,##0</c:formatCode>
                <c:ptCount val="2"/>
                <c:pt idx="0">
                  <c:v>83</c:v>
                </c:pt>
                <c:pt idx="1">
                  <c:v>1637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3432432"/>
        <c:axId val="623432992"/>
      </c:barChart>
      <c:catAx>
        <c:axId val="623432432"/>
        <c:scaling>
          <c:orientation val="maxMin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b" anchorCtr="0"/>
          <a:lstStyle/>
          <a:p>
            <a:pPr>
              <a:defRPr/>
            </a:pPr>
            <a:endParaRPr lang="en-US"/>
          </a:p>
        </c:txPr>
        <c:crossAx val="623432992"/>
        <c:crosses val="max"/>
        <c:auto val="1"/>
        <c:lblAlgn val="ctr"/>
        <c:lblOffset val="100"/>
        <c:tickLblSkip val="1"/>
        <c:noMultiLvlLbl val="0"/>
      </c:catAx>
      <c:valAx>
        <c:axId val="623432992"/>
        <c:scaling>
          <c:orientation val="minMax"/>
          <c:max val="2000"/>
          <c:min val="-1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3432432"/>
        <c:crosses val="autoZero"/>
        <c:crossBetween val="between"/>
        <c:majorUnit val="250"/>
        <c:minorUnit val="5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25931008623922008"/>
          <c:y val="0.82548373728326407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0.45166</cdr:x>
      <cdr:y>0.91369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81326" y="3524673"/>
          <a:ext cx="361949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0.42262</cdr:x>
      <cdr:y>0.89077</cdr:y>
    </cdr:from>
    <cdr:to>
      <cdr:x>1</cdr:x>
      <cdr:y>0.97708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05100" y="3331613"/>
          <a:ext cx="3695700" cy="322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D56B-0AAE-4866-ABC5-DC554BF1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2019-08-16T14:58:00Z</dcterms:modified>
</cp:coreProperties>
</file>