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3B" w:rsidRPr="00E62D07" w:rsidRDefault="000220E3" w:rsidP="000220E3">
      <w:pPr>
        <w:rPr>
          <w:rFonts w:ascii="Times New Roman" w:hAnsi="Times New Roman" w:cs="Times New Roman"/>
          <w:b/>
          <w:sz w:val="24"/>
          <w:szCs w:val="24"/>
        </w:rPr>
      </w:pPr>
      <w:r w:rsidRPr="007B4A7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8240" behindDoc="1" locked="0" layoutInCell="1" allowOverlap="1" wp14:anchorId="7AAC42E4" wp14:editId="3D8F2614">
                <wp:simplePos x="0" y="0"/>
                <wp:positionH relativeFrom="margin">
                  <wp:posOffset>95250</wp:posOffset>
                </wp:positionH>
                <wp:positionV relativeFrom="margin">
                  <wp:posOffset>476250</wp:posOffset>
                </wp:positionV>
                <wp:extent cx="6553200" cy="1743075"/>
                <wp:effectExtent l="0" t="0" r="0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1743075"/>
                          <a:chOff x="-5850" y="-74305"/>
                          <a:chExt cx="2152753" cy="2132005"/>
                        </a:xfrm>
                        <a:solidFill>
                          <a:schemeClr val="accent2">
                            <a:lumMod val="50000"/>
                          </a:schemeClr>
                        </a:soli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5850" y="-74305"/>
                            <a:ext cx="2148906" cy="228599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633243"/>
                            <a:ext cx="2146903" cy="1424457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429F7" w:rsidRDefault="002E0A24" w:rsidP="000429F7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2-Year Proje</w:t>
                              </w:r>
                              <w:r w:rsidR="00D935FB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cted (201</w:t>
                              </w:r>
                              <w:r w:rsid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8</w:t>
                              </w:r>
                              <w:r w:rsidR="00D935FB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-20</w:t>
                              </w:r>
                              <w:r w:rsid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20</w:t>
                              </w:r>
                              <w:r w:rsidR="00D935FB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) Growth Rate:  </w:t>
                              </w:r>
                              <w:r w:rsidR="005C22FD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3.</w:t>
                              </w:r>
                              <w:r w:rsidR="00194A7C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01</w:t>
                              </w:r>
                              <w:r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Gain:  </w:t>
                              </w:r>
                              <w:r w:rsidR="004F654E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Registered Nurses</w:t>
                              </w:r>
                              <w:r w:rsidR="00930D2B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(29-1141)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73BB3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16718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693</w:t>
                              </w:r>
                              <w:r w:rsidR="004F654E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jobs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Fastest Gain:  </w:t>
                              </w:r>
                              <w:r w:rsidR="00016718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Nurse Practitioners (29-1171</w:t>
                              </w:r>
                              <w:r w:rsidR="00930D2B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)</w:t>
                              </w:r>
                              <w:r w:rsidR="004F654E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–</w:t>
                              </w:r>
                              <w:r w:rsidR="004F654E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7.</w:t>
                              </w:r>
                              <w:r w:rsidR="00016718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06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% 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br/>
                                <w:t xml:space="preserve">Biggest and Fastest Loser:   </w:t>
                              </w:r>
                              <w:r w:rsidR="004F654E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Respiratory Therapy Technicians</w:t>
                              </w:r>
                              <w:r w:rsidR="00930D2B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(29-2054)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– </w:t>
                              </w:r>
                              <w:r w:rsidR="000220E3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32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jobs (</w:t>
                              </w:r>
                              <w:r w:rsidR="000220E3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11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.0</w:t>
                              </w:r>
                              <w:r w:rsidR="004F654E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7</w:t>
                              </w:r>
                              <w:r w:rsidR="000429F7" w:rsidRPr="000220E3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%)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8"/>
                            <a:ext cx="2146903" cy="49044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90AD7" w:rsidRPr="00016718" w:rsidRDefault="00BE0E5F" w:rsidP="00CC2B88">
                              <w:pPr>
                                <w:pStyle w:val="NoSpacing"/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</w:pPr>
                              <w:r w:rsidRPr="00016718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Short-Term Outlook</w:t>
                              </w:r>
                              <w:r w:rsidR="0029218E" w:rsidRPr="00016718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 xml:space="preserve"> 2</w:t>
                              </w:r>
                              <w:r w:rsidR="00E62D07">
                                <w:rPr>
                                  <w:rFonts w:ascii="Times New Roman" w:eastAsiaTheme="majorEastAsia" w:hAnsi="Times New Roman" w:cs="Times New Roman"/>
                                  <w:b/>
                                  <w:caps/>
                                  <w:color w:val="833C0B" w:themeColor="accent2" w:themeShade="80"/>
                                  <w:sz w:val="28"/>
                                  <w:szCs w:val="28"/>
                                </w:rPr>
                                <w:t>018-2020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C42E4" id="Group 201" o:spid="_x0000_s1026" style="position:absolute;margin-left:7.5pt;margin-top:37.5pt;width:516pt;height:137.25pt;z-index:-251658240;mso-wrap-distance-left:18pt;mso-wrap-distance-right:18pt;mso-position-horizontal-relative:margin;mso-position-vertical-relative:margin;mso-width-relative:margin;mso-height-relative:margin" coordorigin="-58,-743" coordsize="21527,2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">
                <v:rect id="Rectangle 202" o:spid="_x0000_s1027" style="position:absolute;left:-58;top:-743;width:21488;height:2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IBsMA&#10;AADcAAAADwAAAGRycy9kb3ducmV2LnhtbESPT2sCMRTE7wW/Q3hCbzXrHopsjVKFUsWD+Kf31+S5&#10;u7h5WZK4u357Uyh4HGbmN8x8OdhGdORD7VjBdJKBINbO1FwqOJ++3mYgQkQ22DgmBXcKsFyMXuZY&#10;GNfzgbpjLEWCcChQQRVjW0gZdEUWw8S1xMm7OG8xJulLaTz2CW4bmWfZu7RYc1qosKV1Rfp6vFkF&#10;P+6y6q3+5W1339e3753XerZT6nU8fH6AiDTEZ/i/vTEK8iyHvzPp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sIBsMAAADcAAAADwAAAAAAAAAAAAAAAACYAgAAZHJzL2Rv&#10;d25yZXYueG1sUEsFBgAAAAAEAAQA9QAAAIgDAAAAAA==&#10;" filled="f" stroked="f" strokeweight="1pt"/>
                <v:rect id="Rectangle 203" o:spid="_x0000_s1028" style="position:absolute;top:6332;width:21469;height:14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4lH8MA&#10;AADcAAAADwAAAGRycy9kb3ducmV2LnhtbESPQYvCMBSE78L+h/AEb5pWoS5do8iCsCwIat372+bZ&#10;FpuX2kRb/70RBI/DzHzDLFa9qcWNWldZVhBPIhDEudUVFwqO2Wb8CcJ5ZI21ZVJwJwer5cdggam2&#10;He/pdvCFCBB2KSoovW9SKV1ekkE3sQ1x8E62NeiDbAupW+wC3NRyGkWJNFhxWCixoe+S8vPhahRc&#10;uyKZU+Li7f/fb79bX+LsfI+VGg379RcIT71/h1/tH61gGs3geSYc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4lH8MAAADcAAAADwAAAAAAAAAAAAAAAACYAgAAZHJzL2Rv&#10;d25yZXYueG1sUEsFBgAAAAAEAAQA9QAAAIgDAAAAAA==&#10;" filled="f" stroked="f" strokeweight="1pt">
                  <v:textbox inset=",14.4pt,8.64pt,18pt">
                    <w:txbxContent>
                      <w:p w:rsidR="000429F7" w:rsidRDefault="002E0A24" w:rsidP="000429F7">
                        <w:pPr>
                          <w:rPr>
                            <w:color w:val="FFFFFF" w:themeColor="background1"/>
                          </w:rPr>
                        </w:pPr>
                        <w:r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2-Year Proje</w:t>
                        </w:r>
                        <w:r w:rsidR="00D935FB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cted (201</w:t>
                        </w:r>
                        <w:r w:rsid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8</w:t>
                        </w:r>
                        <w:r w:rsidR="00D935FB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-20</w:t>
                        </w:r>
                        <w:r w:rsid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20</w:t>
                        </w:r>
                        <w:r w:rsidR="00D935FB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) Growth Rate:  </w:t>
                        </w:r>
                        <w:r w:rsidR="005C22FD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3.</w:t>
                        </w:r>
                        <w:r w:rsidR="00194A7C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01</w:t>
                        </w:r>
                        <w:r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Gain:  </w:t>
                        </w:r>
                        <w:r w:rsidR="004F654E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Registered Nurses</w:t>
                        </w:r>
                        <w:r w:rsidR="00930D2B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(29-1141)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773BB3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016718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693</w:t>
                        </w:r>
                        <w:r w:rsidR="004F654E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jobs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Fastest Gain:  </w:t>
                        </w:r>
                        <w:r w:rsidR="00016718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Nurse Practitioners (29-1171</w:t>
                        </w:r>
                        <w:r w:rsidR="00930D2B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)</w:t>
                        </w:r>
                        <w:r w:rsidR="004F654E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–</w:t>
                        </w:r>
                        <w:r w:rsidR="004F654E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7.</w:t>
                        </w:r>
                        <w:r w:rsidR="00016718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06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% 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br/>
                          <w:t xml:space="preserve">Biggest and Fastest Loser:   </w:t>
                        </w:r>
                        <w:r w:rsidR="004F654E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Respiratory Therapy Technicians</w:t>
                        </w:r>
                        <w:r w:rsidR="00930D2B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(29-2054)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– </w:t>
                        </w:r>
                        <w:r w:rsidR="000220E3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32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 jobs (</w:t>
                        </w:r>
                        <w:r w:rsidR="000220E3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11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.0</w:t>
                        </w:r>
                        <w:r w:rsidR="004F654E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7</w:t>
                        </w:r>
                        <w:r w:rsidR="000429F7" w:rsidRPr="000220E3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%)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2318;width:21469;height:4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nSsIA&#10;AADcAAAADwAAAGRycy9kb3ducmV2LnhtbESPQWvCQBSE7wX/w/IEb3UTaaRE1yAtbb02euntkX0m&#10;wezbsPuq8d93C4Ueh5n5htlWkxvUlULsPRvIlxko4sbbnlsDp+Pb4zOoKMgWB89k4E4Rqt3sYYul&#10;9Tf+pGstrUoQjiUa6ETGUuvYdOQwLv1InLyzDw4lydBqG/CW4G7Qqyxba4c9p4UOR3rpqLnU386A&#10;vMf8UJzkYx2+itfC1poCaWMW82m/ASU0yX/4r32wBlbZE/yeSUdA7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qdKwgAAANwAAAAPAAAAAAAAAAAAAAAAAJgCAABkcnMvZG93&#10;bnJldi54bWxQSwUGAAAAAAQABAD1AAAAhwMAAAAA&#10;" fillcolor="white [3212]" stroked="f" strokeweight=".5pt">
                  <v:textbox inset=",7.2pt,,7.2pt">
                    <w:txbxContent>
                      <w:p w:rsidR="00490AD7" w:rsidRPr="00016718" w:rsidRDefault="00BE0E5F" w:rsidP="00CC2B88">
                        <w:pPr>
                          <w:pStyle w:val="NoSpacing"/>
                          <w:jc w:val="center"/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</w:pPr>
                        <w:r w:rsidRPr="00016718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Short-Term Outlook</w:t>
                        </w:r>
                        <w:r w:rsidR="0029218E" w:rsidRPr="00016718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 xml:space="preserve"> 2</w:t>
                        </w:r>
                        <w:r w:rsidR="00E62D07">
                          <w:rPr>
                            <w:rFonts w:ascii="Times New Roman" w:eastAsiaTheme="majorEastAsia" w:hAnsi="Times New Roman" w:cs="Times New Roman"/>
                            <w:b/>
                            <w:caps/>
                            <w:color w:val="833C0B" w:themeColor="accent2" w:themeShade="80"/>
                            <w:sz w:val="28"/>
                            <w:szCs w:val="28"/>
                          </w:rPr>
                          <w:t>018-2020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0220E3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0</wp:posOffset>
                </wp:positionV>
                <wp:extent cx="655320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61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20E3" w:rsidRPr="000220E3" w:rsidRDefault="000220E3" w:rsidP="000220E3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0220E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Healthcare Practitioners and Technical Occupations (29-0000)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7.5pt;margin-top:0;width:516pt;height:2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" fillcolor="#823b0b [1605]">
                <v:textbox>
                  <w:txbxContent>
                    <w:p w:rsidR="000220E3" w:rsidRPr="000220E3" w:rsidRDefault="000220E3" w:rsidP="000220E3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0220E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</w:rPr>
                        <w:t>Healthcare Practitioners and Technical Occupations (29-0000)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62D07">
        <w:rPr>
          <w:rFonts w:ascii="Times New Roman" w:hAnsi="Times New Roman" w:cs="Times New Roman"/>
          <w:b/>
          <w:sz w:val="24"/>
          <w:szCs w:val="24"/>
        </w:rPr>
        <w:br/>
        <w:t xml:space="preserve">  </w:t>
      </w:r>
      <w:r w:rsidR="005C22FD">
        <w:rPr>
          <w:rFonts w:ascii="Times New Roman" w:hAnsi="Times New Roman" w:cs="Times New Roman"/>
          <w:b/>
          <w:sz w:val="24"/>
          <w:szCs w:val="24"/>
        </w:rPr>
        <w:t>Healthcare Practitioners and Technical</w:t>
      </w:r>
      <w:r w:rsidR="00773BB3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  <w:r w:rsidR="00C8302D" w:rsidRPr="000960E8">
        <w:rPr>
          <w:rFonts w:ascii="Times New Roman" w:hAnsi="Times New Roman" w:cs="Times New Roman"/>
          <w:sz w:val="24"/>
          <w:szCs w:val="24"/>
        </w:rPr>
        <w:t xml:space="preserve"> is projected to </w:t>
      </w:r>
      <w:r w:rsidR="00773BB3">
        <w:rPr>
          <w:rFonts w:ascii="Times New Roman" w:hAnsi="Times New Roman" w:cs="Times New Roman"/>
          <w:sz w:val="24"/>
          <w:szCs w:val="24"/>
        </w:rPr>
        <w:t xml:space="preserve">add </w:t>
      </w:r>
      <w:r w:rsidR="00194A7C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194A7C">
        <w:rPr>
          <w:rFonts w:ascii="Times New Roman" w:hAnsi="Times New Roman" w:cs="Times New Roman"/>
          <w:sz w:val="24"/>
          <w:szCs w:val="24"/>
        </w:rPr>
        <w:t>583</w:t>
      </w:r>
      <w:r w:rsidR="00773BB3">
        <w:rPr>
          <w:rFonts w:ascii="Times New Roman" w:hAnsi="Times New Roman" w:cs="Times New Roman"/>
          <w:sz w:val="24"/>
          <w:szCs w:val="24"/>
        </w:rPr>
        <w:t xml:space="preserve"> new jobs to the state economy, an increase of </w:t>
      </w:r>
      <w:r w:rsidR="005C22FD">
        <w:rPr>
          <w:rFonts w:ascii="Times New Roman" w:hAnsi="Times New Roman" w:cs="Times New Roman"/>
          <w:sz w:val="24"/>
          <w:szCs w:val="24"/>
        </w:rPr>
        <w:t>3</w:t>
      </w:r>
      <w:r w:rsidR="00773BB3">
        <w:rPr>
          <w:rFonts w:ascii="Times New Roman" w:hAnsi="Times New Roman" w:cs="Times New Roman"/>
          <w:sz w:val="24"/>
          <w:szCs w:val="24"/>
        </w:rPr>
        <w:t>.</w:t>
      </w:r>
      <w:r w:rsidR="00194A7C">
        <w:rPr>
          <w:rFonts w:ascii="Times New Roman" w:hAnsi="Times New Roman" w:cs="Times New Roman"/>
          <w:sz w:val="24"/>
          <w:szCs w:val="24"/>
        </w:rPr>
        <w:t>01</w:t>
      </w:r>
      <w:r w:rsidR="005C22FD">
        <w:rPr>
          <w:rFonts w:ascii="Times New Roman" w:hAnsi="Times New Roman" w:cs="Times New Roman"/>
          <w:sz w:val="24"/>
          <w:szCs w:val="24"/>
        </w:rPr>
        <w:t xml:space="preserve"> percent.  Of the 6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194A7C">
        <w:rPr>
          <w:rFonts w:ascii="Times New Roman" w:hAnsi="Times New Roman" w:cs="Times New Roman"/>
          <w:sz w:val="24"/>
          <w:szCs w:val="24"/>
        </w:rPr>
        <w:t>019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job openings, </w:t>
      </w:r>
      <w:r w:rsidR="005C22FD">
        <w:rPr>
          <w:rFonts w:ascii="Times New Roman" w:hAnsi="Times New Roman" w:cs="Times New Roman"/>
          <w:sz w:val="24"/>
          <w:szCs w:val="24"/>
        </w:rPr>
        <w:t>2,</w:t>
      </w:r>
      <w:r w:rsidR="00194A7C">
        <w:rPr>
          <w:rFonts w:ascii="Times New Roman" w:hAnsi="Times New Roman" w:cs="Times New Roman"/>
          <w:sz w:val="24"/>
          <w:szCs w:val="24"/>
        </w:rPr>
        <w:t>370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for those created from employees leaving the workforce, while </w:t>
      </w:r>
      <w:r w:rsidR="005C22FD">
        <w:rPr>
          <w:rFonts w:ascii="Times New Roman" w:hAnsi="Times New Roman" w:cs="Times New Roman"/>
          <w:sz w:val="24"/>
          <w:szCs w:val="24"/>
        </w:rPr>
        <w:t>2</w:t>
      </w:r>
      <w:r w:rsidR="00773BB3">
        <w:rPr>
          <w:rFonts w:ascii="Times New Roman" w:hAnsi="Times New Roman" w:cs="Times New Roman"/>
          <w:sz w:val="24"/>
          <w:szCs w:val="24"/>
        </w:rPr>
        <w:t>,</w:t>
      </w:r>
      <w:r w:rsidR="00194A7C">
        <w:rPr>
          <w:rFonts w:ascii="Times New Roman" w:hAnsi="Times New Roman" w:cs="Times New Roman"/>
          <w:sz w:val="24"/>
          <w:szCs w:val="24"/>
        </w:rPr>
        <w:t>357</w:t>
      </w:r>
      <w:r w:rsidR="00773BB3">
        <w:rPr>
          <w:rFonts w:ascii="Times New Roman" w:hAnsi="Times New Roman" w:cs="Times New Roman"/>
          <w:sz w:val="24"/>
          <w:szCs w:val="24"/>
        </w:rPr>
        <w:t xml:space="preserve"> are from people changing jobs.  Growth and expansion accounts for 1,</w:t>
      </w:r>
      <w:r w:rsidR="00194A7C">
        <w:rPr>
          <w:rFonts w:ascii="Times New Roman" w:hAnsi="Times New Roman" w:cs="Times New Roman"/>
          <w:sz w:val="24"/>
          <w:szCs w:val="24"/>
        </w:rPr>
        <w:t>292</w:t>
      </w:r>
      <w:r w:rsidR="00773BB3">
        <w:rPr>
          <w:rFonts w:ascii="Times New Roman" w:hAnsi="Times New Roman" w:cs="Times New Roman"/>
          <w:sz w:val="24"/>
          <w:szCs w:val="24"/>
        </w:rPr>
        <w:t xml:space="preserve"> annual openings</w:t>
      </w:r>
      <w:r w:rsidR="00EC49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EEF" w:rsidRDefault="00EC493B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04F2">
        <w:rPr>
          <w:rFonts w:ascii="Times New Roman" w:hAnsi="Times New Roman" w:cs="Times New Roman"/>
          <w:sz w:val="24"/>
          <w:szCs w:val="24"/>
        </w:rPr>
        <w:t xml:space="preserve">The </w:t>
      </w:r>
      <w:r w:rsidR="005C22FD" w:rsidRPr="005C22FD">
        <w:rPr>
          <w:rFonts w:ascii="Times New Roman" w:hAnsi="Times New Roman" w:cs="Times New Roman"/>
          <w:b/>
          <w:i/>
          <w:sz w:val="24"/>
          <w:szCs w:val="24"/>
        </w:rPr>
        <w:t>Health Diagnosing and Treating Practitioners</w:t>
      </w:r>
      <w:r w:rsidR="00035EEF">
        <w:rPr>
          <w:rFonts w:ascii="Times New Roman" w:hAnsi="Times New Roman" w:cs="Times New Roman"/>
          <w:sz w:val="24"/>
          <w:szCs w:val="24"/>
        </w:rPr>
        <w:t xml:space="preserve"> occupational family is anticipating </w:t>
      </w:r>
      <w:r w:rsidR="00194A7C">
        <w:rPr>
          <w:rFonts w:ascii="Times New Roman" w:hAnsi="Times New Roman" w:cs="Times New Roman"/>
          <w:sz w:val="24"/>
          <w:szCs w:val="24"/>
        </w:rPr>
        <w:t>1</w:t>
      </w:r>
      <w:r w:rsidR="005C22FD">
        <w:rPr>
          <w:rFonts w:ascii="Times New Roman" w:hAnsi="Times New Roman" w:cs="Times New Roman"/>
          <w:sz w:val="24"/>
          <w:szCs w:val="24"/>
        </w:rPr>
        <w:t>,</w:t>
      </w:r>
      <w:r w:rsidR="00194A7C">
        <w:rPr>
          <w:rFonts w:ascii="Times New Roman" w:hAnsi="Times New Roman" w:cs="Times New Roman"/>
          <w:sz w:val="24"/>
          <w:szCs w:val="24"/>
        </w:rPr>
        <w:t>644</w:t>
      </w:r>
      <w:r w:rsidR="00035EEF">
        <w:rPr>
          <w:rFonts w:ascii="Times New Roman" w:hAnsi="Times New Roman" w:cs="Times New Roman"/>
          <w:sz w:val="24"/>
          <w:szCs w:val="24"/>
        </w:rPr>
        <w:t xml:space="preserve"> new jobs, an increase of </w:t>
      </w:r>
      <w:r w:rsidR="00194A7C">
        <w:rPr>
          <w:rFonts w:ascii="Times New Roman" w:hAnsi="Times New Roman" w:cs="Times New Roman"/>
          <w:sz w:val="24"/>
          <w:szCs w:val="24"/>
        </w:rPr>
        <w:t>3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194A7C">
        <w:rPr>
          <w:rFonts w:ascii="Times New Roman" w:hAnsi="Times New Roman" w:cs="Times New Roman"/>
          <w:sz w:val="24"/>
          <w:szCs w:val="24"/>
        </w:rPr>
        <w:t>40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5C22FD">
        <w:rPr>
          <w:rFonts w:ascii="Times New Roman" w:hAnsi="Times New Roman" w:cs="Times New Roman"/>
          <w:sz w:val="24"/>
          <w:szCs w:val="24"/>
        </w:rPr>
        <w:t>Registered Nurses</w:t>
      </w:r>
      <w:r w:rsidR="00035EEF">
        <w:rPr>
          <w:rFonts w:ascii="Times New Roman" w:hAnsi="Times New Roman" w:cs="Times New Roman"/>
          <w:sz w:val="24"/>
          <w:szCs w:val="24"/>
        </w:rPr>
        <w:t xml:space="preserve"> are set to add </w:t>
      </w:r>
      <w:r w:rsidR="00194A7C">
        <w:rPr>
          <w:rFonts w:ascii="Times New Roman" w:hAnsi="Times New Roman" w:cs="Times New Roman"/>
          <w:sz w:val="24"/>
          <w:szCs w:val="24"/>
        </w:rPr>
        <w:t>693</w:t>
      </w:r>
      <w:r w:rsidR="00035EEF">
        <w:rPr>
          <w:rFonts w:ascii="Times New Roman" w:hAnsi="Times New Roman" w:cs="Times New Roman"/>
          <w:sz w:val="24"/>
          <w:szCs w:val="24"/>
        </w:rPr>
        <w:t xml:space="preserve"> of those, </w:t>
      </w:r>
      <w:r w:rsidR="005C22FD">
        <w:rPr>
          <w:rFonts w:ascii="Times New Roman" w:hAnsi="Times New Roman" w:cs="Times New Roman"/>
          <w:sz w:val="24"/>
          <w:szCs w:val="24"/>
        </w:rPr>
        <w:t>placing s</w:t>
      </w:r>
      <w:r w:rsidR="00194A7C">
        <w:rPr>
          <w:rFonts w:ascii="Times New Roman" w:hAnsi="Times New Roman" w:cs="Times New Roman"/>
          <w:sz w:val="24"/>
          <w:szCs w:val="24"/>
        </w:rPr>
        <w:t>ixth</w:t>
      </w:r>
      <w:r w:rsidR="005C22FD">
        <w:rPr>
          <w:rFonts w:ascii="Times New Roman" w:hAnsi="Times New Roman" w:cs="Times New Roman"/>
          <w:sz w:val="24"/>
          <w:szCs w:val="24"/>
        </w:rPr>
        <w:t xml:space="preserve"> in the Top 20 Growing Occupations list.  </w:t>
      </w:r>
      <w:r w:rsidR="00194A7C" w:rsidRPr="00194A7C">
        <w:rPr>
          <w:rFonts w:ascii="Times New Roman" w:hAnsi="Times New Roman" w:cs="Times New Roman"/>
          <w:sz w:val="24"/>
          <w:szCs w:val="24"/>
        </w:rPr>
        <w:t>Nurse Practitioners</w:t>
      </w:r>
      <w:r w:rsidR="005C22FD">
        <w:rPr>
          <w:rFonts w:ascii="Times New Roman" w:hAnsi="Times New Roman" w:cs="Times New Roman"/>
          <w:sz w:val="24"/>
          <w:szCs w:val="24"/>
        </w:rPr>
        <w:t xml:space="preserve"> could be the fastest growing occupation in the major group increasing employment by 7.</w:t>
      </w:r>
      <w:r w:rsidR="00194A7C">
        <w:rPr>
          <w:rFonts w:ascii="Times New Roman" w:hAnsi="Times New Roman" w:cs="Times New Roman"/>
          <w:sz w:val="24"/>
          <w:szCs w:val="24"/>
        </w:rPr>
        <w:t>06</w:t>
      </w:r>
      <w:r w:rsidR="005C22FD">
        <w:rPr>
          <w:rFonts w:ascii="Times New Roman" w:hAnsi="Times New Roman" w:cs="Times New Roman"/>
          <w:sz w:val="24"/>
          <w:szCs w:val="24"/>
        </w:rPr>
        <w:t xml:space="preserve"> percent.  In all</w:t>
      </w:r>
      <w:r w:rsidR="00930D2B">
        <w:rPr>
          <w:rFonts w:ascii="Times New Roman" w:hAnsi="Times New Roman" w:cs="Times New Roman"/>
          <w:sz w:val="24"/>
          <w:szCs w:val="24"/>
        </w:rPr>
        <w:t>,</w:t>
      </w:r>
      <w:r w:rsidR="005C22FD">
        <w:rPr>
          <w:rFonts w:ascii="Times New Roman" w:hAnsi="Times New Roman" w:cs="Times New Roman"/>
          <w:sz w:val="24"/>
          <w:szCs w:val="24"/>
        </w:rPr>
        <w:t xml:space="preserve"> five occupations are anticipating more than 100 new jobs.  </w:t>
      </w:r>
      <w:r w:rsidR="00035EEF">
        <w:rPr>
          <w:rFonts w:ascii="Times New Roman" w:hAnsi="Times New Roman" w:cs="Times New Roman"/>
          <w:sz w:val="24"/>
          <w:szCs w:val="24"/>
        </w:rPr>
        <w:t xml:space="preserve">The occupational family is expecting around </w:t>
      </w:r>
      <w:r w:rsidR="005C22FD">
        <w:rPr>
          <w:rFonts w:ascii="Times New Roman" w:hAnsi="Times New Roman" w:cs="Times New Roman"/>
          <w:sz w:val="24"/>
          <w:szCs w:val="24"/>
        </w:rPr>
        <w:t>3</w:t>
      </w:r>
      <w:r w:rsidR="00035EEF">
        <w:rPr>
          <w:rFonts w:ascii="Times New Roman" w:hAnsi="Times New Roman" w:cs="Times New Roman"/>
          <w:sz w:val="24"/>
          <w:szCs w:val="24"/>
        </w:rPr>
        <w:t>,</w:t>
      </w:r>
      <w:r w:rsidR="00194A7C">
        <w:rPr>
          <w:rFonts w:ascii="Times New Roman" w:hAnsi="Times New Roman" w:cs="Times New Roman"/>
          <w:sz w:val="24"/>
          <w:szCs w:val="24"/>
        </w:rPr>
        <w:t>037</w:t>
      </w:r>
      <w:r w:rsidR="00035EEF">
        <w:rPr>
          <w:rFonts w:ascii="Times New Roman" w:hAnsi="Times New Roman" w:cs="Times New Roman"/>
          <w:sz w:val="24"/>
          <w:szCs w:val="24"/>
        </w:rPr>
        <w:t xml:space="preserve"> annual job openings. </w:t>
      </w:r>
    </w:p>
    <w:p w:rsidR="00EF6C8A" w:rsidRDefault="00E62D07" w:rsidP="00C83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C22FD" w:rsidRPr="005C22FD">
        <w:rPr>
          <w:rFonts w:ascii="Times New Roman" w:hAnsi="Times New Roman" w:cs="Times New Roman"/>
          <w:b/>
          <w:i/>
          <w:sz w:val="24"/>
          <w:szCs w:val="24"/>
        </w:rPr>
        <w:t>Health Technologists and Technicians</w:t>
      </w:r>
      <w:r w:rsidR="00035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EEF" w:rsidRPr="00035EEF">
        <w:rPr>
          <w:rFonts w:ascii="Times New Roman" w:hAnsi="Times New Roman" w:cs="Times New Roman"/>
          <w:sz w:val="24"/>
          <w:szCs w:val="24"/>
        </w:rPr>
        <w:t xml:space="preserve">is predicted to increase jobs by </w:t>
      </w:r>
      <w:r w:rsidR="00720515">
        <w:rPr>
          <w:rFonts w:ascii="Times New Roman" w:hAnsi="Times New Roman" w:cs="Times New Roman"/>
          <w:sz w:val="24"/>
          <w:szCs w:val="24"/>
        </w:rPr>
        <w:t>902</w:t>
      </w:r>
      <w:r w:rsidR="00035EEF" w:rsidRPr="00035EEF">
        <w:rPr>
          <w:rFonts w:ascii="Times New Roman" w:hAnsi="Times New Roman" w:cs="Times New Roman"/>
          <w:sz w:val="24"/>
          <w:szCs w:val="24"/>
        </w:rPr>
        <w:t>, an</w:t>
      </w:r>
      <w:r w:rsidR="00035EEF">
        <w:rPr>
          <w:rFonts w:ascii="Times New Roman" w:hAnsi="Times New Roman" w:cs="Times New Roman"/>
          <w:sz w:val="24"/>
          <w:szCs w:val="24"/>
        </w:rPr>
        <w:t xml:space="preserve"> increase of </w:t>
      </w:r>
      <w:r w:rsidR="00720515">
        <w:rPr>
          <w:rFonts w:ascii="Times New Roman" w:hAnsi="Times New Roman" w:cs="Times New Roman"/>
          <w:sz w:val="24"/>
          <w:szCs w:val="24"/>
        </w:rPr>
        <w:t>2</w:t>
      </w:r>
      <w:r w:rsidR="00035EEF">
        <w:rPr>
          <w:rFonts w:ascii="Times New Roman" w:hAnsi="Times New Roman" w:cs="Times New Roman"/>
          <w:sz w:val="24"/>
          <w:szCs w:val="24"/>
        </w:rPr>
        <w:t>.</w:t>
      </w:r>
      <w:r w:rsidR="00720515">
        <w:rPr>
          <w:rFonts w:ascii="Times New Roman" w:hAnsi="Times New Roman" w:cs="Times New Roman"/>
          <w:sz w:val="24"/>
          <w:szCs w:val="24"/>
        </w:rPr>
        <w:t>51</w:t>
      </w:r>
      <w:r w:rsidR="00035EEF">
        <w:rPr>
          <w:rFonts w:ascii="Times New Roman" w:hAnsi="Times New Roman" w:cs="Times New Roman"/>
          <w:sz w:val="24"/>
          <w:szCs w:val="24"/>
        </w:rPr>
        <w:t xml:space="preserve"> percent.  </w:t>
      </w:r>
      <w:r w:rsidR="00575F19" w:rsidRPr="00575F19">
        <w:rPr>
          <w:rFonts w:ascii="Times New Roman" w:hAnsi="Times New Roman" w:cs="Times New Roman"/>
          <w:sz w:val="24"/>
          <w:szCs w:val="24"/>
        </w:rPr>
        <w:t>Licensed Practical and Licensed Vocational Nurses</w:t>
      </w:r>
      <w:r w:rsidR="00575F19">
        <w:rPr>
          <w:rFonts w:ascii="Times New Roman" w:hAnsi="Times New Roman" w:cs="Times New Roman"/>
          <w:sz w:val="24"/>
          <w:szCs w:val="24"/>
        </w:rPr>
        <w:t xml:space="preserve"> is estimated to add </w:t>
      </w:r>
      <w:r w:rsidR="00720515">
        <w:rPr>
          <w:rFonts w:ascii="Times New Roman" w:hAnsi="Times New Roman" w:cs="Times New Roman"/>
          <w:sz w:val="24"/>
          <w:szCs w:val="24"/>
        </w:rPr>
        <w:t>235</w:t>
      </w:r>
      <w:r w:rsidR="00575F19">
        <w:rPr>
          <w:rFonts w:ascii="Times New Roman" w:hAnsi="Times New Roman" w:cs="Times New Roman"/>
          <w:sz w:val="24"/>
          <w:szCs w:val="24"/>
        </w:rPr>
        <w:t xml:space="preserve"> new jobs, while </w:t>
      </w:r>
      <w:r w:rsidR="00575F19" w:rsidRPr="00575F19">
        <w:rPr>
          <w:rFonts w:ascii="Times New Roman" w:hAnsi="Times New Roman" w:cs="Times New Roman"/>
          <w:sz w:val="24"/>
          <w:szCs w:val="24"/>
        </w:rPr>
        <w:t>Pharmacy Technicians</w:t>
      </w:r>
      <w:r w:rsidR="00575F19">
        <w:rPr>
          <w:rFonts w:ascii="Times New Roman" w:hAnsi="Times New Roman" w:cs="Times New Roman"/>
          <w:sz w:val="24"/>
          <w:szCs w:val="24"/>
        </w:rPr>
        <w:t xml:space="preserve"> is slated to add </w:t>
      </w:r>
      <w:r w:rsidR="00720515">
        <w:rPr>
          <w:rFonts w:ascii="Times New Roman" w:hAnsi="Times New Roman" w:cs="Times New Roman"/>
          <w:sz w:val="24"/>
          <w:szCs w:val="24"/>
        </w:rPr>
        <w:t>267</w:t>
      </w:r>
      <w:r w:rsidR="00575F19">
        <w:rPr>
          <w:rFonts w:ascii="Times New Roman" w:hAnsi="Times New Roman" w:cs="Times New Roman"/>
          <w:sz w:val="24"/>
          <w:szCs w:val="24"/>
        </w:rPr>
        <w:t xml:space="preserve">.  </w:t>
      </w:r>
      <w:r w:rsidR="00720515" w:rsidRPr="00720515">
        <w:rPr>
          <w:rFonts w:ascii="Times New Roman" w:hAnsi="Times New Roman" w:cs="Times New Roman"/>
          <w:sz w:val="24"/>
          <w:szCs w:val="24"/>
        </w:rPr>
        <w:t>Veterinary Technologists and Technicians</w:t>
      </w:r>
      <w:r w:rsidR="00575F19">
        <w:rPr>
          <w:rFonts w:ascii="Times New Roman" w:hAnsi="Times New Roman" w:cs="Times New Roman"/>
          <w:sz w:val="24"/>
          <w:szCs w:val="24"/>
        </w:rPr>
        <w:t xml:space="preserve"> is projected to increase jobs by 5.</w:t>
      </w:r>
      <w:r w:rsidR="00720515">
        <w:rPr>
          <w:rFonts w:ascii="Times New Roman" w:hAnsi="Times New Roman" w:cs="Times New Roman"/>
          <w:sz w:val="24"/>
          <w:szCs w:val="24"/>
        </w:rPr>
        <w:t>70</w:t>
      </w:r>
      <w:r w:rsidR="00575F19">
        <w:rPr>
          <w:rFonts w:ascii="Times New Roman" w:hAnsi="Times New Roman" w:cs="Times New Roman"/>
          <w:sz w:val="24"/>
          <w:szCs w:val="24"/>
        </w:rPr>
        <w:t xml:space="preserve"> percent.  On the negative side of the labor market, </w:t>
      </w:r>
      <w:r w:rsidR="00575F19" w:rsidRPr="00575F19">
        <w:rPr>
          <w:rFonts w:ascii="Times New Roman" w:hAnsi="Times New Roman" w:cs="Times New Roman"/>
          <w:sz w:val="24"/>
          <w:szCs w:val="24"/>
        </w:rPr>
        <w:t>Respiratory Therapy Technicians</w:t>
      </w:r>
      <w:r w:rsidR="00575F19">
        <w:rPr>
          <w:rFonts w:ascii="Times New Roman" w:hAnsi="Times New Roman" w:cs="Times New Roman"/>
          <w:sz w:val="24"/>
          <w:szCs w:val="24"/>
        </w:rPr>
        <w:t xml:space="preserve"> is predicted to lose </w:t>
      </w:r>
      <w:r w:rsidR="00720515">
        <w:rPr>
          <w:rFonts w:ascii="Times New Roman" w:hAnsi="Times New Roman" w:cs="Times New Roman"/>
          <w:sz w:val="24"/>
          <w:szCs w:val="24"/>
        </w:rPr>
        <w:t>11</w:t>
      </w:r>
      <w:r w:rsidR="00575F19">
        <w:rPr>
          <w:rFonts w:ascii="Times New Roman" w:hAnsi="Times New Roman" w:cs="Times New Roman"/>
          <w:sz w:val="24"/>
          <w:szCs w:val="24"/>
        </w:rPr>
        <w:t>.07 percent of its workforce, or 3</w:t>
      </w:r>
      <w:r w:rsidR="00720515">
        <w:rPr>
          <w:rFonts w:ascii="Times New Roman" w:hAnsi="Times New Roman" w:cs="Times New Roman"/>
          <w:sz w:val="24"/>
          <w:szCs w:val="24"/>
        </w:rPr>
        <w:t>2</w:t>
      </w:r>
      <w:r w:rsidR="00575F19">
        <w:rPr>
          <w:rFonts w:ascii="Times New Roman" w:hAnsi="Times New Roman" w:cs="Times New Roman"/>
          <w:sz w:val="24"/>
          <w:szCs w:val="24"/>
        </w:rPr>
        <w:t xml:space="preserve"> jobs.  </w:t>
      </w:r>
      <w:r w:rsidR="004D0738">
        <w:rPr>
          <w:rFonts w:ascii="Times New Roman" w:hAnsi="Times New Roman" w:cs="Times New Roman"/>
          <w:sz w:val="24"/>
          <w:szCs w:val="24"/>
        </w:rPr>
        <w:t xml:space="preserve">Around </w:t>
      </w:r>
      <w:r w:rsidR="00575F19">
        <w:rPr>
          <w:rFonts w:ascii="Times New Roman" w:hAnsi="Times New Roman" w:cs="Times New Roman"/>
          <w:sz w:val="24"/>
          <w:szCs w:val="24"/>
        </w:rPr>
        <w:t>2,8</w:t>
      </w:r>
      <w:r w:rsidR="00720515">
        <w:rPr>
          <w:rFonts w:ascii="Times New Roman" w:hAnsi="Times New Roman" w:cs="Times New Roman"/>
          <w:sz w:val="24"/>
          <w:szCs w:val="24"/>
        </w:rPr>
        <w:t>85</w:t>
      </w:r>
      <w:r w:rsidR="004D0738">
        <w:rPr>
          <w:rFonts w:ascii="Times New Roman" w:hAnsi="Times New Roman" w:cs="Times New Roman"/>
          <w:sz w:val="24"/>
          <w:szCs w:val="24"/>
        </w:rPr>
        <w:t xml:space="preserve"> annual job openings are anticipated annually</w:t>
      </w:r>
      <w:r>
        <w:rPr>
          <w:rFonts w:ascii="Times New Roman" w:hAnsi="Times New Roman" w:cs="Times New Roman"/>
          <w:sz w:val="24"/>
          <w:szCs w:val="24"/>
        </w:rPr>
        <w:t xml:space="preserve"> for the occupational family</w:t>
      </w:r>
      <w:bookmarkStart w:id="0" w:name="_GoBack"/>
      <w:bookmarkEnd w:id="0"/>
      <w:r w:rsidR="004D0738">
        <w:rPr>
          <w:rFonts w:ascii="Times New Roman" w:hAnsi="Times New Roman" w:cs="Times New Roman"/>
          <w:sz w:val="24"/>
          <w:szCs w:val="24"/>
        </w:rPr>
        <w:t>.</w:t>
      </w:r>
    </w:p>
    <w:p w:rsidR="00575F19" w:rsidRDefault="004D0738" w:rsidP="00575F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The </w:t>
      </w:r>
      <w:r w:rsidR="00575F19" w:rsidRPr="00575F19">
        <w:rPr>
          <w:rFonts w:ascii="Times New Roman" w:hAnsi="Times New Roman" w:cs="Times New Roman"/>
          <w:b/>
          <w:i/>
          <w:sz w:val="24"/>
          <w:szCs w:val="24"/>
        </w:rPr>
        <w:t>Other Healthcare Practitioners and Technical Occupations</w:t>
      </w:r>
      <w:r w:rsidR="00575F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75F19">
        <w:rPr>
          <w:rFonts w:ascii="Times New Roman" w:hAnsi="Times New Roman" w:cs="Times New Roman"/>
          <w:sz w:val="24"/>
          <w:szCs w:val="24"/>
        </w:rPr>
        <w:t>occupational family is est</w:t>
      </w:r>
      <w:r w:rsidR="00575F19" w:rsidRPr="00575F19">
        <w:rPr>
          <w:rFonts w:ascii="Times New Roman" w:hAnsi="Times New Roman" w:cs="Times New Roman"/>
          <w:sz w:val="24"/>
          <w:szCs w:val="24"/>
        </w:rPr>
        <w:t xml:space="preserve">imated to add </w:t>
      </w:r>
      <w:r w:rsidR="00720515">
        <w:rPr>
          <w:rFonts w:ascii="Times New Roman" w:hAnsi="Times New Roman" w:cs="Times New Roman"/>
          <w:sz w:val="24"/>
          <w:szCs w:val="24"/>
        </w:rPr>
        <w:t>37</w:t>
      </w:r>
      <w:r w:rsidR="00575F19" w:rsidRPr="00575F19">
        <w:rPr>
          <w:rFonts w:ascii="Times New Roman" w:hAnsi="Times New Roman" w:cs="Times New Roman"/>
          <w:sz w:val="24"/>
          <w:szCs w:val="24"/>
        </w:rPr>
        <w:t xml:space="preserve"> new jobs, a 2.</w:t>
      </w:r>
      <w:r w:rsidR="00720515">
        <w:rPr>
          <w:rFonts w:ascii="Times New Roman" w:hAnsi="Times New Roman" w:cs="Times New Roman"/>
          <w:sz w:val="24"/>
          <w:szCs w:val="24"/>
        </w:rPr>
        <w:t>40</w:t>
      </w:r>
      <w:r w:rsidR="00575F19" w:rsidRPr="00575F19">
        <w:rPr>
          <w:rFonts w:ascii="Times New Roman" w:hAnsi="Times New Roman" w:cs="Times New Roman"/>
          <w:sz w:val="24"/>
          <w:szCs w:val="24"/>
        </w:rPr>
        <w:t xml:space="preserve"> percent gain.</w:t>
      </w:r>
      <w:r w:rsidR="00575F1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5F19" w:rsidRPr="00575F19">
        <w:rPr>
          <w:rFonts w:ascii="Times New Roman" w:hAnsi="Times New Roman" w:cs="Times New Roman"/>
          <w:sz w:val="24"/>
          <w:szCs w:val="24"/>
        </w:rPr>
        <w:t>The</w:t>
      </w:r>
      <w:r w:rsidR="00575F19">
        <w:rPr>
          <w:rFonts w:ascii="Times New Roman" w:hAnsi="Times New Roman" w:cs="Times New Roman"/>
          <w:sz w:val="24"/>
          <w:szCs w:val="24"/>
        </w:rPr>
        <w:t xml:space="preserve"> occupational family anticipates</w:t>
      </w:r>
      <w:r w:rsidR="00575F19" w:rsidRPr="00575F19">
        <w:rPr>
          <w:rFonts w:ascii="Times New Roman" w:hAnsi="Times New Roman" w:cs="Times New Roman"/>
          <w:sz w:val="24"/>
          <w:szCs w:val="24"/>
        </w:rPr>
        <w:t xml:space="preserve"> </w:t>
      </w:r>
      <w:r w:rsidR="00575F19">
        <w:rPr>
          <w:rFonts w:ascii="Times New Roman" w:hAnsi="Times New Roman" w:cs="Times New Roman"/>
          <w:sz w:val="24"/>
          <w:szCs w:val="24"/>
        </w:rPr>
        <w:t>around 9</w:t>
      </w:r>
      <w:r w:rsidR="00720515">
        <w:rPr>
          <w:rFonts w:ascii="Times New Roman" w:hAnsi="Times New Roman" w:cs="Times New Roman"/>
          <w:sz w:val="24"/>
          <w:szCs w:val="24"/>
        </w:rPr>
        <w:t>5</w:t>
      </w:r>
      <w:r w:rsidR="00575F19">
        <w:rPr>
          <w:rFonts w:ascii="Times New Roman" w:hAnsi="Times New Roman" w:cs="Times New Roman"/>
          <w:sz w:val="24"/>
          <w:szCs w:val="24"/>
        </w:rPr>
        <w:t xml:space="preserve"> annual job openings during the</w:t>
      </w:r>
      <w:r w:rsidR="00575F19" w:rsidRPr="00575F19">
        <w:rPr>
          <w:rFonts w:ascii="Times New Roman" w:hAnsi="Times New Roman" w:cs="Times New Roman"/>
          <w:sz w:val="24"/>
          <w:szCs w:val="24"/>
        </w:rPr>
        <w:t xml:space="preserve"> 201</w:t>
      </w:r>
      <w:r w:rsidR="00720515">
        <w:rPr>
          <w:rFonts w:ascii="Times New Roman" w:hAnsi="Times New Roman" w:cs="Times New Roman"/>
          <w:sz w:val="24"/>
          <w:szCs w:val="24"/>
        </w:rPr>
        <w:t>8</w:t>
      </w:r>
      <w:r w:rsidR="00575F19" w:rsidRPr="00575F19">
        <w:rPr>
          <w:rFonts w:ascii="Times New Roman" w:hAnsi="Times New Roman" w:cs="Times New Roman"/>
          <w:sz w:val="24"/>
          <w:szCs w:val="24"/>
        </w:rPr>
        <w:t>-20</w:t>
      </w:r>
      <w:r w:rsidR="00720515">
        <w:rPr>
          <w:rFonts w:ascii="Times New Roman" w:hAnsi="Times New Roman" w:cs="Times New Roman"/>
          <w:sz w:val="24"/>
          <w:szCs w:val="24"/>
        </w:rPr>
        <w:t>20</w:t>
      </w:r>
      <w:r w:rsidR="00575F19" w:rsidRPr="00575F19">
        <w:rPr>
          <w:rFonts w:ascii="Times New Roman" w:hAnsi="Times New Roman" w:cs="Times New Roman"/>
          <w:sz w:val="24"/>
          <w:szCs w:val="24"/>
        </w:rPr>
        <w:t xml:space="preserve"> projection period.</w:t>
      </w:r>
    </w:p>
    <w:p w:rsidR="000D6138" w:rsidRDefault="000D6138" w:rsidP="000D6138">
      <w:pPr>
        <w:rPr>
          <w:rFonts w:ascii="Times New Roman" w:hAnsi="Times New Roman" w:cs="Times New Roman"/>
          <w:sz w:val="24"/>
          <w:szCs w:val="24"/>
        </w:rPr>
      </w:pPr>
    </w:p>
    <w:p w:rsidR="00C8302D" w:rsidRPr="00EF7503" w:rsidRDefault="00003B16" w:rsidP="00EF7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D7" w:rsidRPr="00CC2B88" w:rsidRDefault="007B4A77" w:rsidP="00EF75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B368037" wp14:editId="74E1A993">
            <wp:extent cx="6005513" cy="3724275"/>
            <wp:effectExtent l="57150" t="57150" r="52705" b="4762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90AD7" w:rsidRDefault="00490AD7" w:rsidP="000960E8">
      <w:pPr>
        <w:rPr>
          <w:rFonts w:ascii="Times New Roman" w:hAnsi="Times New Roman" w:cs="Times New Roman"/>
          <w:sz w:val="24"/>
          <w:szCs w:val="24"/>
        </w:rPr>
      </w:pPr>
    </w:p>
    <w:p w:rsidR="003A4556" w:rsidRDefault="003A4556" w:rsidP="000960E8">
      <w:pPr>
        <w:rPr>
          <w:rFonts w:ascii="Times New Roman" w:hAnsi="Times New Roman" w:cs="Times New Roman"/>
          <w:sz w:val="24"/>
          <w:szCs w:val="24"/>
        </w:rPr>
      </w:pPr>
      <w:r w:rsidRPr="00A93823">
        <w:rPr>
          <w:noProof/>
        </w:rPr>
        <w:drawing>
          <wp:inline distT="0" distB="0" distL="0" distR="0" wp14:anchorId="6DFD8037" wp14:editId="312CA30F">
            <wp:extent cx="6600825" cy="3219450"/>
            <wp:effectExtent l="57150" t="57150" r="47625" b="57150"/>
            <wp:docPr id="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4BEC" w:rsidRDefault="00F54BEC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9A2" w:rsidRDefault="009149A2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9A2" w:rsidRDefault="009149A2" w:rsidP="00F54B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7519" w:rsidRPr="00C73BCE" w:rsidRDefault="00CD7519" w:rsidP="00B224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BCE">
        <w:rPr>
          <w:rFonts w:ascii="Times New Roman" w:hAnsi="Times New Roman" w:cs="Times New Roman"/>
          <w:b/>
          <w:sz w:val="24"/>
          <w:szCs w:val="24"/>
        </w:rPr>
        <w:lastRenderedPageBreak/>
        <w:t>Workforce Development Area Outlook</w:t>
      </w:r>
      <w:r w:rsidR="00F76A6E" w:rsidRPr="00C73BCE">
        <w:rPr>
          <w:rFonts w:ascii="Times New Roman" w:hAnsi="Times New Roman" w:cs="Times New Roman"/>
          <w:b/>
          <w:sz w:val="24"/>
          <w:szCs w:val="24"/>
        </w:rPr>
        <w:br/>
      </w:r>
      <w:r w:rsidR="00CA59A9" w:rsidRPr="00C73BCE">
        <w:rPr>
          <w:rFonts w:ascii="Times New Roman" w:hAnsi="Times New Roman" w:cs="Times New Roman"/>
          <w:b/>
          <w:sz w:val="24"/>
          <w:szCs w:val="24"/>
        </w:rPr>
        <w:t>Healthcare Practitioners and Technical</w:t>
      </w:r>
      <w:r w:rsidR="000D6138" w:rsidRPr="00C73BCE">
        <w:rPr>
          <w:rFonts w:ascii="Times New Roman" w:hAnsi="Times New Roman" w:cs="Times New Roman"/>
          <w:b/>
          <w:sz w:val="24"/>
          <w:szCs w:val="24"/>
        </w:rPr>
        <w:t xml:space="preserve"> Occupations</w:t>
      </w:r>
    </w:p>
    <w:tbl>
      <w:tblPr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297"/>
        <w:gridCol w:w="1297"/>
        <w:gridCol w:w="937"/>
        <w:gridCol w:w="877"/>
        <w:gridCol w:w="1106"/>
        <w:gridCol w:w="1106"/>
        <w:gridCol w:w="1106"/>
        <w:gridCol w:w="1106"/>
      </w:tblGrid>
      <w:tr w:rsidR="00F912E4" w:rsidRPr="00F912E4" w:rsidTr="00F912E4">
        <w:trPr>
          <w:trHeight w:val="255"/>
        </w:trPr>
        <w:tc>
          <w:tcPr>
            <w:tcW w:w="2155" w:type="dxa"/>
            <w:shd w:val="clear" w:color="auto" w:fill="auto"/>
            <w:noWrap/>
            <w:vAlign w:val="center"/>
            <w:hideMark/>
          </w:tcPr>
          <w:p w:rsidR="00F912E4" w:rsidRPr="00F912E4" w:rsidRDefault="00F912E4" w:rsidP="002B6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t>Workforce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Development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Area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F912E4" w:rsidRPr="00F912E4" w:rsidRDefault="00F912E4" w:rsidP="00F9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18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Estimated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F912E4" w:rsidRPr="00F912E4" w:rsidRDefault="00F912E4" w:rsidP="00F9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20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Projected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Employment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F912E4" w:rsidRPr="00F912E4" w:rsidRDefault="00F912E4" w:rsidP="002B6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t>Numeric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877" w:type="dxa"/>
            <w:shd w:val="clear" w:color="auto" w:fill="auto"/>
            <w:noWrap/>
            <w:vAlign w:val="center"/>
            <w:hideMark/>
          </w:tcPr>
          <w:p w:rsidR="00F912E4" w:rsidRPr="00F912E4" w:rsidRDefault="00F912E4" w:rsidP="002B6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t>Percent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912E4" w:rsidRPr="00F912E4" w:rsidRDefault="00F912E4" w:rsidP="002B6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Exits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912E4" w:rsidRPr="00F912E4" w:rsidRDefault="00F912E4" w:rsidP="002B6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Transfers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912E4" w:rsidRPr="00F912E4" w:rsidRDefault="00F912E4" w:rsidP="002B6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Change</w:t>
            </w:r>
          </w:p>
        </w:tc>
        <w:tc>
          <w:tcPr>
            <w:tcW w:w="1106" w:type="dxa"/>
            <w:shd w:val="clear" w:color="auto" w:fill="auto"/>
            <w:noWrap/>
            <w:vAlign w:val="center"/>
            <w:hideMark/>
          </w:tcPr>
          <w:p w:rsidR="00F912E4" w:rsidRPr="00F912E4" w:rsidRDefault="00F912E4" w:rsidP="002B62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t>Annual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Openings-</w:t>
            </w:r>
            <w:r w:rsidRPr="00F912E4">
              <w:rPr>
                <w:rFonts w:ascii="Arial" w:eastAsia="Times New Roman" w:hAnsi="Arial" w:cs="Arial"/>
                <w:b/>
                <w:sz w:val="18"/>
                <w:szCs w:val="18"/>
              </w:rPr>
              <w:br/>
              <w:t>Total</w:t>
            </w:r>
          </w:p>
        </w:tc>
      </w:tr>
      <w:tr w:rsidR="00F912E4" w:rsidRPr="00F912E4" w:rsidTr="00F912E4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sz w:val="18"/>
                <w:szCs w:val="18"/>
              </w:rPr>
              <w:t>Northwest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091</w:t>
            </w:r>
          </w:p>
        </w:tc>
      </w:tr>
      <w:tr w:rsidR="00F912E4" w:rsidRPr="00F912E4" w:rsidTr="00F912E4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sz w:val="18"/>
                <w:szCs w:val="18"/>
              </w:rPr>
              <w:t>North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448</w:t>
            </w:r>
          </w:p>
        </w:tc>
      </w:tr>
      <w:tr w:rsidR="00F912E4" w:rsidRPr="00F912E4" w:rsidTr="00F912E4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sz w:val="18"/>
                <w:szCs w:val="18"/>
              </w:rPr>
              <w:t>Northeast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3.65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621</w:t>
            </w:r>
          </w:p>
        </w:tc>
      </w:tr>
      <w:tr w:rsidR="00F912E4" w:rsidRPr="00F912E4" w:rsidTr="00F912E4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sz w:val="18"/>
                <w:szCs w:val="18"/>
              </w:rPr>
              <w:t>Western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0.61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</w:t>
            </w:r>
          </w:p>
        </w:tc>
      </w:tr>
      <w:tr w:rsidR="00F912E4" w:rsidRPr="00F912E4" w:rsidTr="00F912E4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sz w:val="18"/>
                <w:szCs w:val="18"/>
              </w:rPr>
              <w:t>West 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522</w:t>
            </w:r>
          </w:p>
        </w:tc>
      </w:tr>
      <w:tr w:rsidR="00F912E4" w:rsidRPr="00F912E4" w:rsidTr="00F912E4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sz w:val="18"/>
                <w:szCs w:val="18"/>
              </w:rPr>
              <w:t>Central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774</w:t>
            </w:r>
          </w:p>
        </w:tc>
      </w:tr>
      <w:tr w:rsidR="00F912E4" w:rsidRPr="00F912E4" w:rsidTr="00F912E4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sz w:val="18"/>
                <w:szCs w:val="18"/>
              </w:rPr>
              <w:t>City of Little Rock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344</w:t>
            </w:r>
          </w:p>
        </w:tc>
      </w:tr>
      <w:tr w:rsidR="00F912E4" w:rsidRPr="00F912E4" w:rsidTr="00F912E4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sz w:val="18"/>
                <w:szCs w:val="18"/>
              </w:rPr>
              <w:t>Eastern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0.87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F912E4" w:rsidRPr="00F912E4" w:rsidTr="00F912E4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sz w:val="18"/>
                <w:szCs w:val="18"/>
              </w:rPr>
              <w:t>Southwest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382</w:t>
            </w:r>
          </w:p>
        </w:tc>
      </w:tr>
      <w:tr w:rsidR="00F912E4" w:rsidRPr="00F912E4" w:rsidTr="00F912E4">
        <w:trPr>
          <w:trHeight w:val="255"/>
        </w:trPr>
        <w:tc>
          <w:tcPr>
            <w:tcW w:w="2155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F912E4">
              <w:rPr>
                <w:rFonts w:ascii="Arial" w:eastAsia="Times New Roman" w:hAnsi="Arial" w:cs="Arial"/>
                <w:sz w:val="18"/>
                <w:szCs w:val="18"/>
              </w:rPr>
              <w:t>Southeast Arkansas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77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F912E4" w:rsidRPr="00F912E4" w:rsidRDefault="00F912E4" w:rsidP="00F9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912E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</w:t>
            </w:r>
          </w:p>
        </w:tc>
      </w:tr>
    </w:tbl>
    <w:p w:rsidR="00F912E4" w:rsidRPr="00016718" w:rsidRDefault="00F912E4" w:rsidP="00B2249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B633B" w:rsidRPr="00D935FB" w:rsidRDefault="00EB633B" w:rsidP="00CD7519">
      <w:pPr>
        <w:rPr>
          <w:rFonts w:ascii="Times New Roman" w:hAnsi="Times New Roman" w:cs="Times New Roman"/>
          <w:sz w:val="24"/>
          <w:szCs w:val="24"/>
        </w:rPr>
      </w:pPr>
    </w:p>
    <w:sectPr w:rsidR="00EB633B" w:rsidRPr="00D935FB" w:rsidSect="00EF7503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D7"/>
    <w:rsid w:val="00003B16"/>
    <w:rsid w:val="00016718"/>
    <w:rsid w:val="000220E3"/>
    <w:rsid w:val="00035EEF"/>
    <w:rsid w:val="000429F7"/>
    <w:rsid w:val="00066B43"/>
    <w:rsid w:val="00070BD4"/>
    <w:rsid w:val="000960E8"/>
    <w:rsid w:val="000D6138"/>
    <w:rsid w:val="00154FDA"/>
    <w:rsid w:val="00194A7C"/>
    <w:rsid w:val="0029218E"/>
    <w:rsid w:val="002E0A24"/>
    <w:rsid w:val="003369C7"/>
    <w:rsid w:val="003A4556"/>
    <w:rsid w:val="003A6F63"/>
    <w:rsid w:val="00440DB3"/>
    <w:rsid w:val="00457BC4"/>
    <w:rsid w:val="00490AD7"/>
    <w:rsid w:val="004D0738"/>
    <w:rsid w:val="004F654E"/>
    <w:rsid w:val="00504AAD"/>
    <w:rsid w:val="00575F19"/>
    <w:rsid w:val="00580031"/>
    <w:rsid w:val="005C22FD"/>
    <w:rsid w:val="005F6BBA"/>
    <w:rsid w:val="006468CA"/>
    <w:rsid w:val="00720515"/>
    <w:rsid w:val="00752A6F"/>
    <w:rsid w:val="00773BB3"/>
    <w:rsid w:val="007B4A77"/>
    <w:rsid w:val="009149A2"/>
    <w:rsid w:val="00930D2B"/>
    <w:rsid w:val="00A304F2"/>
    <w:rsid w:val="00A903FA"/>
    <w:rsid w:val="00AF4491"/>
    <w:rsid w:val="00B22490"/>
    <w:rsid w:val="00BE0E5F"/>
    <w:rsid w:val="00C73BCE"/>
    <w:rsid w:val="00C8302D"/>
    <w:rsid w:val="00CA59A9"/>
    <w:rsid w:val="00CC2B88"/>
    <w:rsid w:val="00CD7519"/>
    <w:rsid w:val="00CE1B52"/>
    <w:rsid w:val="00CF53CC"/>
    <w:rsid w:val="00D257C2"/>
    <w:rsid w:val="00D935FB"/>
    <w:rsid w:val="00E61819"/>
    <w:rsid w:val="00E62D07"/>
    <w:rsid w:val="00EB633B"/>
    <w:rsid w:val="00EC493B"/>
    <w:rsid w:val="00EF6C8A"/>
    <w:rsid w:val="00EF7503"/>
    <w:rsid w:val="00F127EA"/>
    <w:rsid w:val="00F54BEC"/>
    <w:rsid w:val="00F76A6E"/>
    <w:rsid w:val="00F912E4"/>
    <w:rsid w:val="00FA0B7E"/>
    <w:rsid w:val="00FB210B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78BD6-4095-43F4-96F3-813819E1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90AD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90AD7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0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1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Percent Change by Occupational Family</a:t>
            </a:r>
            <a:br>
              <a:rPr lang="en-US" b="1"/>
            </a:br>
            <a:r>
              <a:rPr lang="en-US" b="1"/>
              <a:t>Healthcare Practitioners and Technical Occupations</a:t>
            </a:r>
          </a:p>
        </c:rich>
      </c:tx>
      <c:layout>
        <c:manualLayout>
          <c:xMode val="edge"/>
          <c:yMode val="edge"/>
          <c:x val="0.18941283338842452"/>
          <c:y val="2.14347758959797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1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Health Diagnosing and Treating Practitioners (29-1000)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9148095940265055E-3"/>
                  <c:y val="0.231447731437662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</c:f>
              <c:strCache>
                <c:ptCount val="1"/>
                <c:pt idx="0">
                  <c:v>Healthcare Practitioners and Technical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3.4000000000000002E-2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Health Technologists and Technicians (29-2000)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4.4296646486916749E-3"/>
                  <c:y val="0.169082036100986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Healthcare Practitioners and Technical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2.5100000000000001E-2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Other Healthcare Practitioners and Technical Occupations (29-9000)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2.1148355715343908E-3"/>
                  <c:y val="0.172492095777030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Healthcare Practitioners and Technical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18957824"/>
        <c:axId val="618958384"/>
        <c:axId val="0"/>
      </c:bar3DChart>
      <c:catAx>
        <c:axId val="6189578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low"/>
        <c:crossAx val="618958384"/>
        <c:crosses val="autoZero"/>
        <c:auto val="1"/>
        <c:lblAlgn val="ctr"/>
        <c:lblOffset val="100"/>
        <c:noMultiLvlLbl val="0"/>
      </c:catAx>
      <c:valAx>
        <c:axId val="618958384"/>
        <c:scaling>
          <c:orientation val="minMax"/>
          <c:max val="5.000000000000001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8957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  <a:round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en-US" sz="1600"/>
              <a:t>Annual Job Openings by Occupational Family</a:t>
            </a:r>
          </a:p>
        </c:rich>
      </c:tx>
      <c:layout>
        <c:manualLayout>
          <c:xMode val="edge"/>
          <c:yMode val="edge"/>
          <c:x val="0.15194449178701147"/>
          <c:y val="2.642558569067755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7593941382327214"/>
          <c:y val="0.20009591393668383"/>
          <c:w val="0.6715677785517572"/>
          <c:h val="0.62685486536405166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Exits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Health Diagnosing and Treating Practitioners (29-1000)</c:v>
                </c:pt>
                <c:pt idx="1">
                  <c:v>Health Technologists and Technicians (29-2000)</c:v>
                </c:pt>
                <c:pt idx="2">
                  <c:v>Other Healthcare Practitioners and Technical Occupations (29-9000)</c:v>
                </c:pt>
              </c:strCache>
            </c:strRef>
          </c:cat>
          <c:val>
            <c:numRef>
              <c:f>Sheet1!$B$2:$B$4</c:f>
              <c:numCache>
                <c:formatCode>#,##0</c:formatCode>
                <c:ptCount val="3"/>
                <c:pt idx="0">
                  <c:v>1191</c:v>
                </c:pt>
                <c:pt idx="1">
                  <c:v>1144</c:v>
                </c:pt>
                <c:pt idx="2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Transfers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Health Diagnosing and Treating Practitioners (29-1000)</c:v>
                </c:pt>
                <c:pt idx="1">
                  <c:v>Health Technologists and Technicians (29-2000)</c:v>
                </c:pt>
                <c:pt idx="2">
                  <c:v>Other Healthcare Practitioners and Technical Occupations (29-9000)</c:v>
                </c:pt>
              </c:strCache>
            </c:strRef>
          </c:cat>
          <c:val>
            <c:numRef>
              <c:f>Sheet1!$C$2:$C$4</c:f>
              <c:numCache>
                <c:formatCode>#,##0</c:formatCode>
                <c:ptCount val="3"/>
                <c:pt idx="0">
                  <c:v>1024</c:v>
                </c:pt>
                <c:pt idx="1">
                  <c:v>1290</c:v>
                </c:pt>
                <c:pt idx="2">
                  <c:v>43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Growth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cat>
            <c:strRef>
              <c:f>Sheet1!$A$2:$A$4</c:f>
              <c:strCache>
                <c:ptCount val="3"/>
                <c:pt idx="0">
                  <c:v>Health Diagnosing and Treating Practitioners (29-1000)</c:v>
                </c:pt>
                <c:pt idx="1">
                  <c:v>Health Technologists and Technicians (29-2000)</c:v>
                </c:pt>
                <c:pt idx="2">
                  <c:v>Other Healthcare Practitioners and Technical Occupations (29-9000)</c:v>
                </c:pt>
              </c:strCache>
            </c:strRef>
          </c:cat>
          <c:val>
            <c:numRef>
              <c:f>Sheet1!$D$2:$D$4</c:f>
              <c:numCache>
                <c:formatCode>#,##0</c:formatCode>
                <c:ptCount val="3"/>
                <c:pt idx="0">
                  <c:v>822</c:v>
                </c:pt>
                <c:pt idx="1">
                  <c:v>451</c:v>
                </c:pt>
                <c:pt idx="2">
                  <c:v>18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Total</c:v>
                </c:pt>
              </c:strCache>
            </c:strRef>
          </c:tx>
          <c:spPr>
            <a:noFill/>
          </c:spPr>
          <c:invertIfNegative val="0"/>
          <c:dLbls>
            <c:dLbl>
              <c:idx val="0"/>
              <c:layout>
                <c:manualLayout>
                  <c:x val="-8.6184681460272014E-2"/>
                  <c:y val="9.2177235242044443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9.1176633223877313E-2"/>
                  <c:y val="9.3183618319899364E-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strRef>
              <c:f>Sheet1!$A$2:$A$4</c:f>
              <c:strCache>
                <c:ptCount val="3"/>
                <c:pt idx="0">
                  <c:v>Health Diagnosing and Treating Practitioners (29-1000)</c:v>
                </c:pt>
                <c:pt idx="1">
                  <c:v>Health Technologists and Technicians (29-2000)</c:v>
                </c:pt>
                <c:pt idx="2">
                  <c:v>Other Healthcare Practitioners and Technical Occupations (29-9000)</c:v>
                </c:pt>
              </c:strCache>
            </c:strRef>
          </c:cat>
          <c:val>
            <c:numRef>
              <c:f>Sheet1!$E$2:$E$4</c:f>
              <c:numCache>
                <c:formatCode>#,##0</c:formatCode>
                <c:ptCount val="3"/>
                <c:pt idx="0">
                  <c:v>3037</c:v>
                </c:pt>
                <c:pt idx="1">
                  <c:v>2885</c:v>
                </c:pt>
                <c:pt idx="2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622317952"/>
        <c:axId val="622318512"/>
      </c:barChart>
      <c:catAx>
        <c:axId val="622317952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spPr>
          <a:ln/>
        </c:spPr>
        <c:txPr>
          <a:bodyPr rot="0" vert="horz" anchor="ctr" anchorCtr="1"/>
          <a:lstStyle/>
          <a:p>
            <a:pPr>
              <a:defRPr/>
            </a:pPr>
            <a:endParaRPr lang="en-US"/>
          </a:p>
        </c:txPr>
        <c:crossAx val="622318512"/>
        <c:crossesAt val="0"/>
        <c:auto val="1"/>
        <c:lblAlgn val="ctr"/>
        <c:lblOffset val="100"/>
        <c:tickLblSkip val="1"/>
        <c:noMultiLvlLbl val="0"/>
      </c:catAx>
      <c:valAx>
        <c:axId val="622318512"/>
        <c:scaling>
          <c:orientation val="minMax"/>
          <c:max val="3500"/>
          <c:min val="0"/>
        </c:scaling>
        <c:delete val="0"/>
        <c:axPos val="t"/>
        <c:majorGridlines/>
        <c:numFmt formatCode="#,##0" sourceLinked="1"/>
        <c:majorTickMark val="none"/>
        <c:minorTickMark val="none"/>
        <c:tickLblPos val="nextTo"/>
        <c:spPr>
          <a:ln w="9525">
            <a:noFill/>
          </a:ln>
        </c:spPr>
        <c:crossAx val="622317952"/>
        <c:crosses val="autoZero"/>
        <c:crossBetween val="between"/>
        <c:majorUnit val="1000"/>
      </c:valAx>
      <c:spPr>
        <a:noFill/>
        <a:ln w="25400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layout>
        <c:manualLayout>
          <c:xMode val="edge"/>
          <c:yMode val="edge"/>
          <c:x val="0.35184253483466083"/>
          <c:y val="0.85759502284436673"/>
          <c:w val="0.36043025871766027"/>
          <c:h val="6.518902902180207E-2"/>
        </c:manualLayout>
      </c:layout>
      <c:overlay val="0"/>
      <c:txPr>
        <a:bodyPr/>
        <a:lstStyle/>
        <a:p>
          <a:pPr>
            <a:defRPr sz="1000"/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104775" cap="flat" cmpd="sng" algn="ctr">
      <a:solidFill>
        <a:schemeClr val="accent2">
          <a:lumMod val="50000"/>
        </a:schemeClr>
      </a:solidFill>
      <a:prstDash val="solid"/>
    </a:ln>
    <a:effectLst/>
  </c:spPr>
  <c:txPr>
    <a:bodyPr/>
    <a:lstStyle/>
    <a:p>
      <a:pPr>
        <a:defRPr sz="800" b="1">
          <a:solidFill>
            <a:schemeClr val="dk1"/>
          </a:solidFill>
          <a:latin typeface="Arial" pitchFamily="34" charset="0"/>
          <a:ea typeface="+mn-ea"/>
          <a:cs typeface="Arial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0.47042</cdr:x>
      <cdr:y>0.91369</cdr:y>
    </cdr:from>
    <cdr:to>
      <cdr:x>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105150" y="2941579"/>
          <a:ext cx="3495675" cy="2778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latin typeface="Arial" pitchFamily="34" charset="0"/>
              <a:cs typeface="Arial" pitchFamily="34" charset="0"/>
            </a:rPr>
            <a:t>*</a:t>
          </a:r>
          <a:r>
            <a:rPr lang="en-US" sz="1000" b="1">
              <a:latin typeface="Arial" pitchFamily="34" charset="0"/>
              <a:cs typeface="Arial" pitchFamily="34" charset="0"/>
            </a:rPr>
            <a:t>Numbers in black represent Total Annual Openings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47D8F-A7B1-4B7B-9EFE-E9CA2EA75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Pulliam</dc:creator>
  <cp:keywords/>
  <dc:description/>
  <cp:lastModifiedBy>Brian Pulliam</cp:lastModifiedBy>
  <cp:revision>23</cp:revision>
  <cp:lastPrinted>2017-07-17T20:28:00Z</cp:lastPrinted>
  <dcterms:created xsi:type="dcterms:W3CDTF">2016-08-09T16:00:00Z</dcterms:created>
  <dcterms:modified xsi:type="dcterms:W3CDTF">2019-08-12T15:02:00Z</dcterms:modified>
</cp:coreProperties>
</file>