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B" w:rsidRPr="00210BB9" w:rsidRDefault="00210BB9" w:rsidP="00210BB9">
      <w:pPr>
        <w:rPr>
          <w:rFonts w:ascii="Times New Roman" w:hAnsi="Times New Roman" w:cs="Times New Roman"/>
          <w:b/>
          <w:sz w:val="28"/>
          <w:szCs w:val="28"/>
        </w:rPr>
      </w:pPr>
      <w:r w:rsidRPr="007B4A7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8240" behindDoc="1" locked="0" layoutInCell="1" allowOverlap="1" wp14:anchorId="7AAC42E4" wp14:editId="3D8F2614">
                <wp:simplePos x="0" y="0"/>
                <wp:positionH relativeFrom="margin">
                  <wp:posOffset>976598</wp:posOffset>
                </wp:positionH>
                <wp:positionV relativeFrom="margin">
                  <wp:posOffset>800100</wp:posOffset>
                </wp:positionV>
                <wp:extent cx="5362575" cy="2209800"/>
                <wp:effectExtent l="0" t="0" r="9525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2575" cy="2209800"/>
                          <a:chOff x="-5850" y="-74305"/>
                          <a:chExt cx="2152753" cy="1864050"/>
                        </a:xfrm>
                        <a:solidFill>
                          <a:schemeClr val="accent2">
                            <a:lumMod val="50000"/>
                          </a:schemeClr>
                        </a:solidFill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5850" y="-74305"/>
                            <a:ext cx="2148906" cy="22859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633244"/>
                            <a:ext cx="2146903" cy="115650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29F7" w:rsidRPr="00E65C24" w:rsidRDefault="002E0A24" w:rsidP="00BF17AA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65C2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2-Year Proje</w:t>
                              </w:r>
                              <w:r w:rsidR="00D935FB" w:rsidRPr="00E65C2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cted (20</w:t>
                              </w:r>
                              <w:r w:rsidR="00F628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18</w:t>
                              </w:r>
                              <w:r w:rsidR="00D935FB" w:rsidRPr="00E65C2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-20</w:t>
                              </w:r>
                              <w:r w:rsidR="00F628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D935FB" w:rsidRPr="00E65C2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) Growth Rate:  </w:t>
                              </w:r>
                              <w:r w:rsidR="00DC7D11" w:rsidRPr="00E65C2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3369C7" w:rsidRPr="00E65C2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E65C24" w:rsidRPr="00E65C2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13</w:t>
                              </w:r>
                              <w:r w:rsidRPr="00E65C2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</w:t>
                              </w:r>
                              <w:r w:rsidR="000429F7" w:rsidRPr="00E65C2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</w:t>
                              </w:r>
                              <w:r w:rsidR="001376C6" w:rsidRPr="00E65C2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and Fastest </w:t>
                              </w:r>
                              <w:r w:rsidR="000429F7" w:rsidRPr="00E65C2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Gain:  </w:t>
                              </w:r>
                              <w:r w:rsidR="001376C6" w:rsidRPr="00E65C2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Combined Food Preparation and Serving Workers, </w:t>
                              </w:r>
                              <w:r w:rsidR="00210BB9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     </w:t>
                              </w:r>
                              <w:r w:rsidR="001376C6" w:rsidRPr="00E65C2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Including Fast Food (35-3021) </w:t>
                              </w:r>
                              <w:r w:rsidR="00773BB3" w:rsidRPr="00E65C2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–</w:t>
                              </w:r>
                              <w:r w:rsidR="000429F7" w:rsidRPr="00E65C2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10BB9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1,553</w:t>
                              </w:r>
                              <w:r w:rsidR="000429F7" w:rsidRPr="00E65C2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376C6" w:rsidRPr="00E65C2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jobs (4.</w:t>
                              </w:r>
                              <w:r w:rsidR="00210BB9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50</w:t>
                              </w:r>
                              <w:r w:rsidR="001376C6" w:rsidRPr="00E65C2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%)</w:t>
                              </w:r>
                              <w:r w:rsidR="000429F7" w:rsidRPr="00E65C2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</w:r>
                              <w:r w:rsidR="00BF17AA" w:rsidRPr="00E65C2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</w:r>
                              <w:r w:rsidR="001376C6" w:rsidRPr="00E65C2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Biggest and Fastest Loser:  None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9"/>
                            <a:ext cx="2146903" cy="401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AD7" w:rsidRPr="00E65C24" w:rsidRDefault="00BE0E5F" w:rsidP="00CC2B88">
                              <w:pPr>
                                <w:pStyle w:val="NoSpacing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E65C24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Short-Term Outlook</w:t>
                              </w:r>
                              <w:r w:rsidR="0029218E" w:rsidRPr="00E65C24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 xml:space="preserve"> 20</w:t>
                              </w:r>
                              <w:r w:rsidR="00210BB9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18</w:t>
                              </w:r>
                              <w:r w:rsidR="0029218E" w:rsidRPr="00E65C24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-20</w:t>
                              </w:r>
                              <w:r w:rsidR="00210BB9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C42E4" id="Group 201" o:spid="_x0000_s1026" style="position:absolute;margin-left:76.9pt;margin-top:63pt;width:422.25pt;height:174pt;z-index:-251658240;mso-wrap-distance-left:18pt;mso-wrap-distance-right:18pt;mso-position-horizontal-relative:margin;mso-position-vertical-relative:margin;mso-width-relative:margin;mso-height-relative:margin" coordorigin="-58,-743" coordsize="21527,1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">
                <v:rect id="Rectangle 202" o:spid="_x0000_s1027" style="position:absolute;left:-58;top:-743;width:21488;height:2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IBsMA&#10;AADcAAAADwAAAGRycy9kb3ducmV2LnhtbESPT2sCMRTE7wW/Q3hCbzXrHopsjVKFUsWD+Kf31+S5&#10;u7h5WZK4u357Uyh4HGbmN8x8OdhGdORD7VjBdJKBINbO1FwqOJ++3mYgQkQ22DgmBXcKsFyMXuZY&#10;GNfzgbpjLEWCcChQQRVjW0gZdEUWw8S1xMm7OG8xJulLaTz2CW4bmWfZu7RYc1qosKV1Rfp6vFkF&#10;P+6y6q3+5W1339e3753XerZT6nU8fH6AiDTEZ/i/vTEK8iyHv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sIBsMAAADcAAAADwAAAAAAAAAAAAAAAACYAgAAZHJzL2Rv&#10;d25yZXYueG1sUEsFBgAAAAAEAAQA9QAAAIgDAAAAAA==&#10;" filled="f" stroked="f" strokeweight="1pt"/>
                <v:rect id="Rectangle 203" o:spid="_x0000_s1028" style="position:absolute;top:6332;width:21469;height:11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lH8MA&#10;AADcAAAADwAAAGRycy9kb3ducmV2LnhtbESPQYvCMBSE78L+h/AEb5pWoS5do8iCsCwIat372+bZ&#10;FpuX2kRb/70RBI/DzHzDLFa9qcWNWldZVhBPIhDEudUVFwqO2Wb8CcJ5ZI21ZVJwJwer5cdggam2&#10;He/pdvCFCBB2KSoovW9SKV1ekkE3sQ1x8E62NeiDbAupW+wC3NRyGkWJNFhxWCixoe+S8vPhahRc&#10;uyKZU+Li7f/fb79bX+LsfI+VGg379RcIT71/h1/tH61gGs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4lH8MAAADcAAAADwAAAAAAAAAAAAAAAACYAgAAZHJzL2Rv&#10;d25yZXYueG1sUEsFBgAAAAAEAAQA9QAAAIgDAAAAAA==&#10;" filled="f" stroked="f" strokeweight="1pt">
                  <v:textbox inset=",14.4pt,8.64pt,18pt">
                    <w:txbxContent>
                      <w:p w:rsidR="000429F7" w:rsidRPr="00E65C24" w:rsidRDefault="002E0A24" w:rsidP="00BF17AA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65C2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2-Year Proje</w:t>
                        </w:r>
                        <w:r w:rsidR="00D935FB" w:rsidRPr="00E65C2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cted (20</w:t>
                        </w:r>
                        <w:r w:rsidR="00F628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18</w:t>
                        </w:r>
                        <w:r w:rsidR="00D935FB" w:rsidRPr="00E65C2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-20</w:t>
                        </w:r>
                        <w:r w:rsidR="00F628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20</w:t>
                        </w:r>
                        <w:r w:rsidR="00D935FB" w:rsidRPr="00E65C2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) Growth Rate:  </w:t>
                        </w:r>
                        <w:r w:rsidR="00DC7D11" w:rsidRPr="00E65C2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 w:rsidR="003369C7" w:rsidRPr="00E65C2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E65C24" w:rsidRPr="00E65C2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13</w:t>
                        </w:r>
                        <w:r w:rsidRPr="00E65C2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</w:t>
                        </w:r>
                        <w:r w:rsidR="000429F7" w:rsidRPr="00E65C2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</w:t>
                        </w:r>
                        <w:r w:rsidR="001376C6" w:rsidRPr="00E65C2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and Fastest </w:t>
                        </w:r>
                        <w:r w:rsidR="000429F7" w:rsidRPr="00E65C2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Gain:  </w:t>
                        </w:r>
                        <w:r w:rsidR="001376C6" w:rsidRPr="00E65C2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Combined Food Preparation and Serving Workers, </w:t>
                        </w:r>
                        <w:r w:rsidR="00210BB9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     </w:t>
                        </w:r>
                        <w:r w:rsidR="001376C6" w:rsidRPr="00E65C2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Including Fast Food (35-3021) </w:t>
                        </w:r>
                        <w:r w:rsidR="00773BB3" w:rsidRPr="00E65C2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–</w:t>
                        </w:r>
                        <w:r w:rsidR="000429F7" w:rsidRPr="00E65C2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210BB9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1,553</w:t>
                        </w:r>
                        <w:r w:rsidR="000429F7" w:rsidRPr="00E65C2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1376C6" w:rsidRPr="00E65C2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jobs (4.</w:t>
                        </w:r>
                        <w:r w:rsidR="00210BB9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50</w:t>
                        </w:r>
                        <w:r w:rsidR="001376C6" w:rsidRPr="00E65C2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%)</w:t>
                        </w:r>
                        <w:r w:rsidR="000429F7" w:rsidRPr="00E65C2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</w:r>
                        <w:r w:rsidR="00BF17AA" w:rsidRPr="00E65C2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</w:r>
                        <w:r w:rsidR="001376C6" w:rsidRPr="00E65C2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Biggest and Fastest Loser:  None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21469;height:4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nSsIA&#10;AADcAAAADwAAAGRycy9kb3ducmV2LnhtbESPQWvCQBSE7wX/w/IEb3UTaaRE1yAtbb02euntkX0m&#10;wezbsPuq8d93C4Ueh5n5htlWkxvUlULsPRvIlxko4sbbnlsDp+Pb4zOoKMgWB89k4E4Rqt3sYYul&#10;9Tf+pGstrUoQjiUa6ETGUuvYdOQwLv1InLyzDw4lydBqG/CW4G7Qqyxba4c9p4UOR3rpqLnU386A&#10;vMf8UJzkYx2+itfC1poCaWMW82m/ASU0yX/4r32wBlbZE/yeSU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dKwgAAANwAAAAPAAAAAAAAAAAAAAAAAJgCAABkcnMvZG93&#10;bnJldi54bWxQSwUGAAAAAAQABAD1AAAAhwMAAAAA&#10;" fillcolor="white [3212]" stroked="f" strokeweight=".5pt">
                  <v:textbox inset=",7.2pt,,7.2pt">
                    <w:txbxContent>
                      <w:p w:rsidR="00490AD7" w:rsidRPr="00E65C24" w:rsidRDefault="00BE0E5F" w:rsidP="00CC2B88">
                        <w:pPr>
                          <w:pStyle w:val="NoSpacing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E65C24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Short-Term Outlook</w:t>
                        </w:r>
                        <w:r w:rsidR="0029218E" w:rsidRPr="00E65C24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 xml:space="preserve"> 20</w:t>
                        </w:r>
                        <w:r w:rsidR="00210BB9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18</w:t>
                        </w:r>
                        <w:r w:rsidR="0029218E" w:rsidRPr="00E65C24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-20</w:t>
                        </w:r>
                        <w:r w:rsidR="00210BB9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20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210BB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6257925" cy="1404620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BB9" w:rsidRPr="00210BB9" w:rsidRDefault="00210BB9" w:rsidP="00210BB9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10BB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Food Preparation and Serving Related Occupations (35-0000)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5.25pt;margin-top:0;width:492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" fillcolor="#823b0b [1605]">
                <v:textbox style="mso-fit-shape-to-text:t">
                  <w:txbxContent>
                    <w:p w:rsidR="00210BB9" w:rsidRPr="00210BB9" w:rsidRDefault="00210BB9" w:rsidP="00210BB9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210BB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Food Preparation and Serving Related Occupations (35-0000)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C7D11">
        <w:rPr>
          <w:rFonts w:ascii="Times New Roman" w:hAnsi="Times New Roman" w:cs="Times New Roman"/>
          <w:b/>
          <w:sz w:val="24"/>
          <w:szCs w:val="24"/>
        </w:rPr>
        <w:t>Food Preparation and Serving Related</w:t>
      </w:r>
      <w:r w:rsidR="00773BB3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  <w:r w:rsidR="00C8302D" w:rsidRPr="000960E8">
        <w:rPr>
          <w:rFonts w:ascii="Times New Roman" w:hAnsi="Times New Roman" w:cs="Times New Roman"/>
          <w:sz w:val="24"/>
          <w:szCs w:val="24"/>
        </w:rPr>
        <w:t xml:space="preserve"> is projected to </w:t>
      </w:r>
      <w:r w:rsidR="00773BB3">
        <w:rPr>
          <w:rFonts w:ascii="Times New Roman" w:hAnsi="Times New Roman" w:cs="Times New Roman"/>
          <w:sz w:val="24"/>
          <w:szCs w:val="24"/>
        </w:rPr>
        <w:t xml:space="preserve">add </w:t>
      </w:r>
      <w:r w:rsidR="00DC7D11">
        <w:rPr>
          <w:rFonts w:ascii="Times New Roman" w:hAnsi="Times New Roman" w:cs="Times New Roman"/>
          <w:sz w:val="24"/>
          <w:szCs w:val="24"/>
        </w:rPr>
        <w:t>3,</w:t>
      </w:r>
      <w:r w:rsidR="00E65C24">
        <w:rPr>
          <w:rFonts w:ascii="Times New Roman" w:hAnsi="Times New Roman" w:cs="Times New Roman"/>
          <w:sz w:val="24"/>
          <w:szCs w:val="24"/>
        </w:rPr>
        <w:t>279</w:t>
      </w:r>
      <w:r w:rsidR="00773BB3">
        <w:rPr>
          <w:rFonts w:ascii="Times New Roman" w:hAnsi="Times New Roman" w:cs="Times New Roman"/>
          <w:sz w:val="24"/>
          <w:szCs w:val="24"/>
        </w:rPr>
        <w:t xml:space="preserve"> new jobs to the state economy, an increase of </w:t>
      </w:r>
      <w:r w:rsidR="00DC7D11">
        <w:rPr>
          <w:rFonts w:ascii="Times New Roman" w:hAnsi="Times New Roman" w:cs="Times New Roman"/>
          <w:sz w:val="24"/>
          <w:szCs w:val="24"/>
        </w:rPr>
        <w:t>3</w:t>
      </w:r>
      <w:r w:rsidR="00773BB3">
        <w:rPr>
          <w:rFonts w:ascii="Times New Roman" w:hAnsi="Times New Roman" w:cs="Times New Roman"/>
          <w:sz w:val="24"/>
          <w:szCs w:val="24"/>
        </w:rPr>
        <w:t>.</w:t>
      </w:r>
      <w:r w:rsidR="00E65C24">
        <w:rPr>
          <w:rFonts w:ascii="Times New Roman" w:hAnsi="Times New Roman" w:cs="Times New Roman"/>
          <w:sz w:val="24"/>
          <w:szCs w:val="24"/>
        </w:rPr>
        <w:t>13</w:t>
      </w:r>
      <w:r w:rsidR="00773BB3">
        <w:rPr>
          <w:rFonts w:ascii="Times New Roman" w:hAnsi="Times New Roman" w:cs="Times New Roman"/>
          <w:sz w:val="24"/>
          <w:szCs w:val="24"/>
        </w:rPr>
        <w:t xml:space="preserve"> percent.  Of the 1</w:t>
      </w:r>
      <w:r w:rsidR="00DC7D11">
        <w:rPr>
          <w:rFonts w:ascii="Times New Roman" w:hAnsi="Times New Roman" w:cs="Times New Roman"/>
          <w:sz w:val="24"/>
          <w:szCs w:val="24"/>
        </w:rPr>
        <w:t>9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E65C24">
        <w:rPr>
          <w:rFonts w:ascii="Times New Roman" w:hAnsi="Times New Roman" w:cs="Times New Roman"/>
          <w:sz w:val="24"/>
          <w:szCs w:val="24"/>
        </w:rPr>
        <w:t>396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job openings, </w:t>
      </w:r>
      <w:r w:rsidR="00DC7D11">
        <w:rPr>
          <w:rFonts w:ascii="Times New Roman" w:hAnsi="Times New Roman" w:cs="Times New Roman"/>
          <w:sz w:val="24"/>
          <w:szCs w:val="24"/>
        </w:rPr>
        <w:t>7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DC7D11">
        <w:rPr>
          <w:rFonts w:ascii="Times New Roman" w:hAnsi="Times New Roman" w:cs="Times New Roman"/>
          <w:sz w:val="24"/>
          <w:szCs w:val="24"/>
        </w:rPr>
        <w:t>84</w:t>
      </w:r>
      <w:r w:rsidR="00E65C24">
        <w:rPr>
          <w:rFonts w:ascii="Times New Roman" w:hAnsi="Times New Roman" w:cs="Times New Roman"/>
          <w:sz w:val="24"/>
          <w:szCs w:val="24"/>
        </w:rPr>
        <w:t>0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for those created from employees leaving the workforce, while </w:t>
      </w:r>
      <w:r w:rsidR="00DC7D11">
        <w:rPr>
          <w:rFonts w:ascii="Times New Roman" w:hAnsi="Times New Roman" w:cs="Times New Roman"/>
          <w:sz w:val="24"/>
          <w:szCs w:val="24"/>
        </w:rPr>
        <w:t>9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DC7D11">
        <w:rPr>
          <w:rFonts w:ascii="Times New Roman" w:hAnsi="Times New Roman" w:cs="Times New Roman"/>
          <w:sz w:val="24"/>
          <w:szCs w:val="24"/>
        </w:rPr>
        <w:t>9</w:t>
      </w:r>
      <w:r w:rsidR="00E65C24">
        <w:rPr>
          <w:rFonts w:ascii="Times New Roman" w:hAnsi="Times New Roman" w:cs="Times New Roman"/>
          <w:sz w:val="24"/>
          <w:szCs w:val="24"/>
        </w:rPr>
        <w:t>16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from people changing jobs.  Growth and expansion accounts for 1,</w:t>
      </w:r>
      <w:r w:rsidR="00E65C24">
        <w:rPr>
          <w:rFonts w:ascii="Times New Roman" w:hAnsi="Times New Roman" w:cs="Times New Roman"/>
          <w:sz w:val="24"/>
          <w:szCs w:val="24"/>
        </w:rPr>
        <w:t>640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openings</w:t>
      </w:r>
      <w:r w:rsidR="00F628E0">
        <w:rPr>
          <w:rFonts w:ascii="Times New Roman" w:hAnsi="Times New Roman" w:cs="Times New Roman"/>
          <w:sz w:val="24"/>
          <w:szCs w:val="24"/>
        </w:rPr>
        <w:t>.</w:t>
      </w:r>
      <w:r w:rsidR="00EC49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5EEF" w:rsidRDefault="00EC493B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04F2">
        <w:rPr>
          <w:rFonts w:ascii="Times New Roman" w:hAnsi="Times New Roman" w:cs="Times New Roman"/>
          <w:sz w:val="24"/>
          <w:szCs w:val="24"/>
        </w:rPr>
        <w:t xml:space="preserve">The </w:t>
      </w:r>
      <w:r w:rsidR="00DC7D11" w:rsidRPr="00DC7D11">
        <w:rPr>
          <w:rFonts w:ascii="Times New Roman" w:hAnsi="Times New Roman" w:cs="Times New Roman"/>
          <w:b/>
          <w:i/>
          <w:sz w:val="24"/>
          <w:szCs w:val="24"/>
        </w:rPr>
        <w:t>Supervisors of Food Preparation and Serving Workers</w:t>
      </w:r>
      <w:r w:rsidR="00035EEF">
        <w:rPr>
          <w:rFonts w:ascii="Times New Roman" w:hAnsi="Times New Roman" w:cs="Times New Roman"/>
          <w:sz w:val="24"/>
          <w:szCs w:val="24"/>
        </w:rPr>
        <w:t xml:space="preserve"> occupational family is anticipating </w:t>
      </w:r>
      <w:r w:rsidR="00DC7D11">
        <w:rPr>
          <w:rFonts w:ascii="Times New Roman" w:hAnsi="Times New Roman" w:cs="Times New Roman"/>
          <w:sz w:val="24"/>
          <w:szCs w:val="24"/>
        </w:rPr>
        <w:t>3</w:t>
      </w:r>
      <w:r w:rsidR="00E37267">
        <w:rPr>
          <w:rFonts w:ascii="Times New Roman" w:hAnsi="Times New Roman" w:cs="Times New Roman"/>
          <w:sz w:val="24"/>
          <w:szCs w:val="24"/>
        </w:rPr>
        <w:t>34</w:t>
      </w:r>
      <w:r w:rsidR="00035EEF">
        <w:rPr>
          <w:rFonts w:ascii="Times New Roman" w:hAnsi="Times New Roman" w:cs="Times New Roman"/>
          <w:sz w:val="24"/>
          <w:szCs w:val="24"/>
        </w:rPr>
        <w:t xml:space="preserve"> new jobs, an increase of </w:t>
      </w:r>
      <w:r w:rsidR="00A60FAA">
        <w:rPr>
          <w:rFonts w:ascii="Times New Roman" w:hAnsi="Times New Roman" w:cs="Times New Roman"/>
          <w:sz w:val="24"/>
          <w:szCs w:val="24"/>
        </w:rPr>
        <w:t>2</w:t>
      </w:r>
      <w:r w:rsidR="00035EEF">
        <w:rPr>
          <w:rFonts w:ascii="Times New Roman" w:hAnsi="Times New Roman" w:cs="Times New Roman"/>
          <w:sz w:val="24"/>
          <w:szCs w:val="24"/>
        </w:rPr>
        <w:t>.</w:t>
      </w:r>
      <w:r w:rsidR="00A60FAA">
        <w:rPr>
          <w:rFonts w:ascii="Times New Roman" w:hAnsi="Times New Roman" w:cs="Times New Roman"/>
          <w:sz w:val="24"/>
          <w:szCs w:val="24"/>
        </w:rPr>
        <w:t>85</w:t>
      </w:r>
      <w:r w:rsidR="00035EEF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DC7D11" w:rsidRPr="00DC7D11">
        <w:rPr>
          <w:rFonts w:ascii="Times New Roman" w:hAnsi="Times New Roman" w:cs="Times New Roman"/>
          <w:sz w:val="24"/>
          <w:szCs w:val="24"/>
        </w:rPr>
        <w:t>First-Line Supervisors of Food Preparation and Serving Workers</w:t>
      </w:r>
      <w:r w:rsidR="00DC7D11">
        <w:rPr>
          <w:rFonts w:ascii="Times New Roman" w:hAnsi="Times New Roman" w:cs="Times New Roman"/>
          <w:sz w:val="24"/>
          <w:szCs w:val="24"/>
        </w:rPr>
        <w:t xml:space="preserve"> is estimated to add 3</w:t>
      </w:r>
      <w:r w:rsidR="00A60FAA">
        <w:rPr>
          <w:rFonts w:ascii="Times New Roman" w:hAnsi="Times New Roman" w:cs="Times New Roman"/>
          <w:sz w:val="24"/>
          <w:szCs w:val="24"/>
        </w:rPr>
        <w:t>12</w:t>
      </w:r>
      <w:r w:rsidR="00DC7D11">
        <w:rPr>
          <w:rFonts w:ascii="Times New Roman" w:hAnsi="Times New Roman" w:cs="Times New Roman"/>
          <w:sz w:val="24"/>
          <w:szCs w:val="24"/>
        </w:rPr>
        <w:t xml:space="preserve"> of those jobs.  </w:t>
      </w:r>
      <w:r w:rsidR="00035EEF">
        <w:rPr>
          <w:rFonts w:ascii="Times New Roman" w:hAnsi="Times New Roman" w:cs="Times New Roman"/>
          <w:sz w:val="24"/>
          <w:szCs w:val="24"/>
        </w:rPr>
        <w:t xml:space="preserve">The occupational family is expecting around </w:t>
      </w:r>
      <w:r w:rsidR="00F628E0">
        <w:rPr>
          <w:rFonts w:ascii="Times New Roman" w:hAnsi="Times New Roman" w:cs="Times New Roman"/>
          <w:sz w:val="24"/>
          <w:szCs w:val="24"/>
        </w:rPr>
        <w:t>1</w:t>
      </w:r>
      <w:r w:rsidR="00035EEF">
        <w:rPr>
          <w:rFonts w:ascii="Times New Roman" w:hAnsi="Times New Roman" w:cs="Times New Roman"/>
          <w:sz w:val="24"/>
          <w:szCs w:val="24"/>
        </w:rPr>
        <w:t>,</w:t>
      </w:r>
      <w:r w:rsidR="00A60FAA">
        <w:rPr>
          <w:rFonts w:ascii="Times New Roman" w:hAnsi="Times New Roman" w:cs="Times New Roman"/>
          <w:sz w:val="24"/>
          <w:szCs w:val="24"/>
        </w:rPr>
        <w:t>820</w:t>
      </w:r>
      <w:r w:rsidR="00035EEF">
        <w:rPr>
          <w:rFonts w:ascii="Times New Roman" w:hAnsi="Times New Roman" w:cs="Times New Roman"/>
          <w:sz w:val="24"/>
          <w:szCs w:val="24"/>
        </w:rPr>
        <w:t xml:space="preserve"> annual job openings</w:t>
      </w:r>
      <w:r w:rsidR="00DC7D11">
        <w:rPr>
          <w:rFonts w:ascii="Times New Roman" w:hAnsi="Times New Roman" w:cs="Times New Roman"/>
          <w:sz w:val="24"/>
          <w:szCs w:val="24"/>
        </w:rPr>
        <w:t>, overall</w:t>
      </w:r>
      <w:r w:rsidR="00035E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6C8A" w:rsidRDefault="00F628E0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7D11" w:rsidRPr="00DC7D11">
        <w:rPr>
          <w:rFonts w:ascii="Times New Roman" w:hAnsi="Times New Roman" w:cs="Times New Roman"/>
          <w:b/>
          <w:i/>
          <w:sz w:val="24"/>
          <w:szCs w:val="24"/>
        </w:rPr>
        <w:t>Cooks and Food Preparation Workers</w:t>
      </w:r>
      <w:r w:rsidR="00035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EEF" w:rsidRPr="00035EEF">
        <w:rPr>
          <w:rFonts w:ascii="Times New Roman" w:hAnsi="Times New Roman" w:cs="Times New Roman"/>
          <w:sz w:val="24"/>
          <w:szCs w:val="24"/>
        </w:rPr>
        <w:t xml:space="preserve">is predicted to increase jobs by </w:t>
      </w:r>
      <w:r w:rsidR="00A60FAA">
        <w:rPr>
          <w:rFonts w:ascii="Times New Roman" w:hAnsi="Times New Roman" w:cs="Times New Roman"/>
          <w:sz w:val="24"/>
          <w:szCs w:val="24"/>
        </w:rPr>
        <w:t>621</w:t>
      </w:r>
      <w:r w:rsidR="00035EEF" w:rsidRPr="00035EEF">
        <w:rPr>
          <w:rFonts w:ascii="Times New Roman" w:hAnsi="Times New Roman" w:cs="Times New Roman"/>
          <w:sz w:val="24"/>
          <w:szCs w:val="24"/>
        </w:rPr>
        <w:t>, an</w:t>
      </w:r>
      <w:r w:rsidR="00035EEF">
        <w:rPr>
          <w:rFonts w:ascii="Times New Roman" w:hAnsi="Times New Roman" w:cs="Times New Roman"/>
          <w:sz w:val="24"/>
          <w:szCs w:val="24"/>
        </w:rPr>
        <w:t xml:space="preserve"> increase of </w:t>
      </w:r>
      <w:r w:rsidR="00DC7D11">
        <w:rPr>
          <w:rFonts w:ascii="Times New Roman" w:hAnsi="Times New Roman" w:cs="Times New Roman"/>
          <w:sz w:val="24"/>
          <w:szCs w:val="24"/>
        </w:rPr>
        <w:t>2</w:t>
      </w:r>
      <w:r w:rsidR="00035EEF">
        <w:rPr>
          <w:rFonts w:ascii="Times New Roman" w:hAnsi="Times New Roman" w:cs="Times New Roman"/>
          <w:sz w:val="24"/>
          <w:szCs w:val="24"/>
        </w:rPr>
        <w:t>.</w:t>
      </w:r>
      <w:r w:rsidR="00A60FAA">
        <w:rPr>
          <w:rFonts w:ascii="Times New Roman" w:hAnsi="Times New Roman" w:cs="Times New Roman"/>
          <w:sz w:val="24"/>
          <w:szCs w:val="24"/>
        </w:rPr>
        <w:t>21</w:t>
      </w:r>
      <w:r w:rsidR="00035EEF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DC7D11" w:rsidRPr="00DC7D11">
        <w:rPr>
          <w:rFonts w:ascii="Times New Roman" w:hAnsi="Times New Roman" w:cs="Times New Roman"/>
          <w:sz w:val="24"/>
          <w:szCs w:val="24"/>
        </w:rPr>
        <w:t>Cooks, Restaurant</w:t>
      </w:r>
      <w:r w:rsidR="00DC7D11">
        <w:rPr>
          <w:rFonts w:ascii="Times New Roman" w:hAnsi="Times New Roman" w:cs="Times New Roman"/>
          <w:sz w:val="24"/>
          <w:szCs w:val="24"/>
        </w:rPr>
        <w:t xml:space="preserve"> is forecast to increase jobs by </w:t>
      </w:r>
      <w:r w:rsidR="00A60FAA">
        <w:rPr>
          <w:rFonts w:ascii="Times New Roman" w:hAnsi="Times New Roman" w:cs="Times New Roman"/>
          <w:sz w:val="24"/>
          <w:szCs w:val="24"/>
        </w:rPr>
        <w:t>359</w:t>
      </w:r>
      <w:r w:rsidR="00DC7D11">
        <w:rPr>
          <w:rFonts w:ascii="Times New Roman" w:hAnsi="Times New Roman" w:cs="Times New Roman"/>
          <w:sz w:val="24"/>
          <w:szCs w:val="24"/>
        </w:rPr>
        <w:t xml:space="preserve">, or </w:t>
      </w:r>
      <w:r w:rsidR="00A60FAA">
        <w:rPr>
          <w:rFonts w:ascii="Times New Roman" w:hAnsi="Times New Roman" w:cs="Times New Roman"/>
          <w:sz w:val="24"/>
          <w:szCs w:val="24"/>
        </w:rPr>
        <w:t>3</w:t>
      </w:r>
      <w:r w:rsidR="00DC7D11">
        <w:rPr>
          <w:rFonts w:ascii="Times New Roman" w:hAnsi="Times New Roman" w:cs="Times New Roman"/>
          <w:sz w:val="24"/>
          <w:szCs w:val="24"/>
        </w:rPr>
        <w:t>.</w:t>
      </w:r>
      <w:r w:rsidR="00A60FAA">
        <w:rPr>
          <w:rFonts w:ascii="Times New Roman" w:hAnsi="Times New Roman" w:cs="Times New Roman"/>
          <w:sz w:val="24"/>
          <w:szCs w:val="24"/>
        </w:rPr>
        <w:t>54</w:t>
      </w:r>
      <w:r w:rsidR="00DC7D11">
        <w:rPr>
          <w:rFonts w:ascii="Times New Roman" w:hAnsi="Times New Roman" w:cs="Times New Roman"/>
          <w:sz w:val="24"/>
          <w:szCs w:val="24"/>
        </w:rPr>
        <w:t xml:space="preserve"> percent, and have 1,6</w:t>
      </w:r>
      <w:r w:rsidR="00A60FAA">
        <w:rPr>
          <w:rFonts w:ascii="Times New Roman" w:hAnsi="Times New Roman" w:cs="Times New Roman"/>
          <w:sz w:val="24"/>
          <w:szCs w:val="24"/>
        </w:rPr>
        <w:t>09</w:t>
      </w:r>
      <w:r w:rsidR="00DC7D11">
        <w:rPr>
          <w:rFonts w:ascii="Times New Roman" w:hAnsi="Times New Roman" w:cs="Times New Roman"/>
          <w:sz w:val="24"/>
          <w:szCs w:val="24"/>
        </w:rPr>
        <w:t xml:space="preserve"> annual job openings.  Overall, the occupational family is slated to have </w:t>
      </w:r>
      <w:r w:rsidR="00A60FAA">
        <w:rPr>
          <w:rFonts w:ascii="Times New Roman" w:hAnsi="Times New Roman" w:cs="Times New Roman"/>
          <w:sz w:val="24"/>
          <w:szCs w:val="24"/>
        </w:rPr>
        <w:t>4</w:t>
      </w:r>
      <w:r w:rsidR="00DC7D11">
        <w:rPr>
          <w:rFonts w:ascii="Times New Roman" w:hAnsi="Times New Roman" w:cs="Times New Roman"/>
          <w:sz w:val="24"/>
          <w:szCs w:val="24"/>
        </w:rPr>
        <w:t>,</w:t>
      </w:r>
      <w:r w:rsidR="00A60FAA">
        <w:rPr>
          <w:rFonts w:ascii="Times New Roman" w:hAnsi="Times New Roman" w:cs="Times New Roman"/>
          <w:sz w:val="24"/>
          <w:szCs w:val="24"/>
        </w:rPr>
        <w:t>359</w:t>
      </w:r>
      <w:r w:rsidR="00DC7D11">
        <w:rPr>
          <w:rFonts w:ascii="Times New Roman" w:hAnsi="Times New Roman" w:cs="Times New Roman"/>
          <w:sz w:val="24"/>
          <w:szCs w:val="24"/>
        </w:rPr>
        <w:t xml:space="preserve"> annual job openings</w:t>
      </w:r>
      <w:r w:rsidR="004D0738">
        <w:rPr>
          <w:rFonts w:ascii="Times New Roman" w:hAnsi="Times New Roman" w:cs="Times New Roman"/>
          <w:sz w:val="24"/>
          <w:szCs w:val="24"/>
        </w:rPr>
        <w:t>.</w:t>
      </w:r>
    </w:p>
    <w:p w:rsidR="000D6138" w:rsidRDefault="004D0738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DC7D11" w:rsidRPr="00DC7D11">
        <w:rPr>
          <w:rFonts w:ascii="Times New Roman" w:hAnsi="Times New Roman" w:cs="Times New Roman"/>
          <w:b/>
          <w:i/>
          <w:sz w:val="24"/>
          <w:szCs w:val="24"/>
        </w:rPr>
        <w:t>Food and Beverage Serving Workers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6138">
        <w:rPr>
          <w:rFonts w:ascii="Times New Roman" w:hAnsi="Times New Roman" w:cs="Times New Roman"/>
          <w:sz w:val="24"/>
          <w:szCs w:val="24"/>
        </w:rPr>
        <w:t xml:space="preserve">occupational family is estimated to increase employment by </w:t>
      </w:r>
      <w:r w:rsidR="00DC7D11">
        <w:rPr>
          <w:rFonts w:ascii="Times New Roman" w:hAnsi="Times New Roman" w:cs="Times New Roman"/>
          <w:sz w:val="24"/>
          <w:szCs w:val="24"/>
        </w:rPr>
        <w:t>2,1</w:t>
      </w:r>
      <w:r w:rsidR="00A60FAA">
        <w:rPr>
          <w:rFonts w:ascii="Times New Roman" w:hAnsi="Times New Roman" w:cs="Times New Roman"/>
          <w:sz w:val="24"/>
          <w:szCs w:val="24"/>
        </w:rPr>
        <w:t>26</w:t>
      </w:r>
      <w:r w:rsidR="00DC7D11">
        <w:rPr>
          <w:rFonts w:ascii="Times New Roman" w:hAnsi="Times New Roman" w:cs="Times New Roman"/>
          <w:sz w:val="24"/>
          <w:szCs w:val="24"/>
        </w:rPr>
        <w:t>, or 3.</w:t>
      </w:r>
      <w:r w:rsidR="00A60FAA">
        <w:rPr>
          <w:rFonts w:ascii="Times New Roman" w:hAnsi="Times New Roman" w:cs="Times New Roman"/>
          <w:sz w:val="24"/>
          <w:szCs w:val="24"/>
        </w:rPr>
        <w:t>7</w:t>
      </w:r>
      <w:r w:rsidR="00DC7D11">
        <w:rPr>
          <w:rFonts w:ascii="Times New Roman" w:hAnsi="Times New Roman" w:cs="Times New Roman"/>
          <w:sz w:val="24"/>
          <w:szCs w:val="24"/>
        </w:rPr>
        <w:t>1 percent, more than 6</w:t>
      </w:r>
      <w:r w:rsidR="00A60FAA">
        <w:rPr>
          <w:rFonts w:ascii="Times New Roman" w:hAnsi="Times New Roman" w:cs="Times New Roman"/>
          <w:sz w:val="24"/>
          <w:szCs w:val="24"/>
        </w:rPr>
        <w:t>4</w:t>
      </w:r>
      <w:r w:rsidR="00DC7D11">
        <w:rPr>
          <w:rFonts w:ascii="Times New Roman" w:hAnsi="Times New Roman" w:cs="Times New Roman"/>
          <w:sz w:val="24"/>
          <w:szCs w:val="24"/>
        </w:rPr>
        <w:t xml:space="preserve"> percent of the major group’s total job growth.</w:t>
      </w:r>
      <w:r w:rsidRPr="000D6138">
        <w:rPr>
          <w:rFonts w:ascii="Times New Roman" w:hAnsi="Times New Roman" w:cs="Times New Roman"/>
          <w:sz w:val="24"/>
          <w:szCs w:val="24"/>
        </w:rPr>
        <w:t xml:space="preserve">  </w:t>
      </w:r>
      <w:r w:rsidR="00DC7D11" w:rsidRPr="00DC7D11">
        <w:rPr>
          <w:rFonts w:ascii="Times New Roman" w:hAnsi="Times New Roman" w:cs="Times New Roman"/>
          <w:sz w:val="24"/>
          <w:szCs w:val="24"/>
        </w:rPr>
        <w:t>Combined Food Preparation and Serving Workers, Including Fast Food</w:t>
      </w:r>
      <w:r w:rsidR="00DC7D11">
        <w:rPr>
          <w:rFonts w:ascii="Times New Roman" w:hAnsi="Times New Roman" w:cs="Times New Roman"/>
          <w:sz w:val="24"/>
          <w:szCs w:val="24"/>
        </w:rPr>
        <w:t xml:space="preserve"> is projected to be the top growing occupation in the state with 1,</w:t>
      </w:r>
      <w:r w:rsidR="00A60FAA">
        <w:rPr>
          <w:rFonts w:ascii="Times New Roman" w:hAnsi="Times New Roman" w:cs="Times New Roman"/>
          <w:sz w:val="24"/>
          <w:szCs w:val="24"/>
        </w:rPr>
        <w:t>553</w:t>
      </w:r>
      <w:r w:rsidR="00DC7D11">
        <w:rPr>
          <w:rFonts w:ascii="Times New Roman" w:hAnsi="Times New Roman" w:cs="Times New Roman"/>
          <w:sz w:val="24"/>
          <w:szCs w:val="24"/>
        </w:rPr>
        <w:t xml:space="preserve"> new jobs, </w:t>
      </w:r>
      <w:r w:rsidR="00946331">
        <w:rPr>
          <w:rFonts w:ascii="Times New Roman" w:hAnsi="Times New Roman" w:cs="Times New Roman"/>
          <w:sz w:val="24"/>
          <w:szCs w:val="24"/>
        </w:rPr>
        <w:t xml:space="preserve">have the most annual job openings with </w:t>
      </w:r>
      <w:r w:rsidR="00A60FAA">
        <w:rPr>
          <w:rFonts w:ascii="Times New Roman" w:hAnsi="Times New Roman" w:cs="Times New Roman"/>
          <w:sz w:val="24"/>
          <w:szCs w:val="24"/>
        </w:rPr>
        <w:t>7</w:t>
      </w:r>
      <w:r w:rsidR="00946331">
        <w:rPr>
          <w:rFonts w:ascii="Times New Roman" w:hAnsi="Times New Roman" w:cs="Times New Roman"/>
          <w:sz w:val="24"/>
          <w:szCs w:val="24"/>
        </w:rPr>
        <w:t>,</w:t>
      </w:r>
      <w:r w:rsidR="00A60FAA">
        <w:rPr>
          <w:rFonts w:ascii="Times New Roman" w:hAnsi="Times New Roman" w:cs="Times New Roman"/>
          <w:sz w:val="24"/>
          <w:szCs w:val="24"/>
        </w:rPr>
        <w:t>162</w:t>
      </w:r>
      <w:r w:rsidR="00946331">
        <w:rPr>
          <w:rFonts w:ascii="Times New Roman" w:hAnsi="Times New Roman" w:cs="Times New Roman"/>
          <w:sz w:val="24"/>
          <w:szCs w:val="24"/>
        </w:rPr>
        <w:t>, and be the fastest growing occupation in the major group with a 4.</w:t>
      </w:r>
      <w:r w:rsidR="00A60FAA">
        <w:rPr>
          <w:rFonts w:ascii="Times New Roman" w:hAnsi="Times New Roman" w:cs="Times New Roman"/>
          <w:sz w:val="24"/>
          <w:szCs w:val="24"/>
        </w:rPr>
        <w:t>50</w:t>
      </w:r>
      <w:r w:rsidR="00946331">
        <w:rPr>
          <w:rFonts w:ascii="Times New Roman" w:hAnsi="Times New Roman" w:cs="Times New Roman"/>
          <w:sz w:val="24"/>
          <w:szCs w:val="24"/>
        </w:rPr>
        <w:t xml:space="preserve"> percent increase.  </w:t>
      </w:r>
      <w:r w:rsidR="00946331" w:rsidRPr="00946331">
        <w:rPr>
          <w:rFonts w:ascii="Times New Roman" w:hAnsi="Times New Roman" w:cs="Times New Roman"/>
          <w:sz w:val="24"/>
          <w:szCs w:val="24"/>
        </w:rPr>
        <w:t>Waiters and Waitresses</w:t>
      </w:r>
      <w:r w:rsidR="00946331">
        <w:rPr>
          <w:rFonts w:ascii="Times New Roman" w:hAnsi="Times New Roman" w:cs="Times New Roman"/>
          <w:sz w:val="24"/>
          <w:szCs w:val="24"/>
        </w:rPr>
        <w:t xml:space="preserve"> could add an additional </w:t>
      </w:r>
      <w:r w:rsidR="00A60FAA">
        <w:rPr>
          <w:rFonts w:ascii="Times New Roman" w:hAnsi="Times New Roman" w:cs="Times New Roman"/>
          <w:sz w:val="24"/>
          <w:szCs w:val="24"/>
        </w:rPr>
        <w:t>460</w:t>
      </w:r>
      <w:r w:rsidR="009463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331" w:rsidRPr="00946331">
        <w:rPr>
          <w:rFonts w:ascii="Times New Roman" w:hAnsi="Times New Roman" w:cs="Times New Roman"/>
          <w:sz w:val="24"/>
          <w:szCs w:val="24"/>
        </w:rPr>
        <w:t>A</w:t>
      </w:r>
      <w:r w:rsidRPr="004D0738">
        <w:rPr>
          <w:rFonts w:ascii="Times New Roman" w:hAnsi="Times New Roman" w:cs="Times New Roman"/>
          <w:sz w:val="24"/>
          <w:szCs w:val="24"/>
        </w:rPr>
        <w:t>s a whole</w:t>
      </w:r>
      <w:r w:rsidR="00946331">
        <w:rPr>
          <w:rFonts w:ascii="Times New Roman" w:hAnsi="Times New Roman" w:cs="Times New Roman"/>
          <w:sz w:val="24"/>
          <w:szCs w:val="24"/>
        </w:rPr>
        <w:t xml:space="preserve">, the </w:t>
      </w:r>
      <w:r w:rsidR="00946331" w:rsidRPr="00DC7D11">
        <w:rPr>
          <w:rFonts w:ascii="Times New Roman" w:hAnsi="Times New Roman" w:cs="Times New Roman"/>
          <w:b/>
          <w:i/>
          <w:sz w:val="24"/>
          <w:szCs w:val="24"/>
        </w:rPr>
        <w:t>Food and Beverage Serving Workers</w:t>
      </w:r>
      <w:r w:rsidRPr="004D0738">
        <w:rPr>
          <w:rFonts w:ascii="Times New Roman" w:hAnsi="Times New Roman" w:cs="Times New Roman"/>
          <w:sz w:val="24"/>
          <w:szCs w:val="24"/>
        </w:rPr>
        <w:t xml:space="preserve"> </w:t>
      </w:r>
      <w:r w:rsidR="00946331">
        <w:rPr>
          <w:rFonts w:ascii="Times New Roman" w:hAnsi="Times New Roman" w:cs="Times New Roman"/>
          <w:sz w:val="24"/>
          <w:szCs w:val="24"/>
        </w:rPr>
        <w:t>occupational family is anticipating 11,</w:t>
      </w:r>
      <w:r w:rsidR="00A60FAA">
        <w:rPr>
          <w:rFonts w:ascii="Times New Roman" w:hAnsi="Times New Roman" w:cs="Times New Roman"/>
          <w:sz w:val="24"/>
          <w:szCs w:val="24"/>
        </w:rPr>
        <w:t>705</w:t>
      </w:r>
      <w:r w:rsidR="00946331">
        <w:rPr>
          <w:rFonts w:ascii="Times New Roman" w:hAnsi="Times New Roman" w:cs="Times New Roman"/>
          <w:sz w:val="24"/>
          <w:szCs w:val="24"/>
        </w:rPr>
        <w:t xml:space="preserve"> </w:t>
      </w:r>
      <w:r w:rsidRPr="004D0738">
        <w:rPr>
          <w:rFonts w:ascii="Times New Roman" w:hAnsi="Times New Roman" w:cs="Times New Roman"/>
          <w:sz w:val="24"/>
          <w:szCs w:val="24"/>
        </w:rPr>
        <w:t>job openings annually.</w:t>
      </w:r>
    </w:p>
    <w:p w:rsidR="00946331" w:rsidRDefault="00F628E0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6331" w:rsidRPr="00946331">
        <w:rPr>
          <w:rFonts w:ascii="Times New Roman" w:hAnsi="Times New Roman" w:cs="Times New Roman"/>
          <w:b/>
          <w:i/>
          <w:sz w:val="24"/>
          <w:szCs w:val="24"/>
        </w:rPr>
        <w:t>Other Food Preparation and Serving Related Workers</w:t>
      </w:r>
      <w:r w:rsidR="00946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331" w:rsidRPr="00035EEF">
        <w:rPr>
          <w:rFonts w:ascii="Times New Roman" w:hAnsi="Times New Roman" w:cs="Times New Roman"/>
          <w:sz w:val="24"/>
          <w:szCs w:val="24"/>
        </w:rPr>
        <w:t xml:space="preserve">is predicted to increase jobs by </w:t>
      </w:r>
      <w:r w:rsidR="00A60FAA">
        <w:rPr>
          <w:rFonts w:ascii="Times New Roman" w:hAnsi="Times New Roman" w:cs="Times New Roman"/>
          <w:sz w:val="24"/>
          <w:szCs w:val="24"/>
        </w:rPr>
        <w:t>198</w:t>
      </w:r>
      <w:r w:rsidR="00946331" w:rsidRPr="00035EEF">
        <w:rPr>
          <w:rFonts w:ascii="Times New Roman" w:hAnsi="Times New Roman" w:cs="Times New Roman"/>
          <w:sz w:val="24"/>
          <w:szCs w:val="24"/>
        </w:rPr>
        <w:t>, an</w:t>
      </w:r>
      <w:r w:rsidR="00946331">
        <w:rPr>
          <w:rFonts w:ascii="Times New Roman" w:hAnsi="Times New Roman" w:cs="Times New Roman"/>
          <w:sz w:val="24"/>
          <w:szCs w:val="24"/>
        </w:rPr>
        <w:t xml:space="preserve"> increase of 2.5</w:t>
      </w:r>
      <w:r w:rsidR="00A60FAA">
        <w:rPr>
          <w:rFonts w:ascii="Times New Roman" w:hAnsi="Times New Roman" w:cs="Times New Roman"/>
          <w:sz w:val="24"/>
          <w:szCs w:val="24"/>
        </w:rPr>
        <w:t>2</w:t>
      </w:r>
      <w:r w:rsidR="00946331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946331" w:rsidRPr="00946331">
        <w:rPr>
          <w:rFonts w:ascii="Times New Roman" w:hAnsi="Times New Roman" w:cs="Times New Roman"/>
          <w:sz w:val="24"/>
          <w:szCs w:val="24"/>
        </w:rPr>
        <w:t>Dishwashers</w:t>
      </w:r>
      <w:r w:rsidR="00946331">
        <w:rPr>
          <w:rFonts w:ascii="Times New Roman" w:hAnsi="Times New Roman" w:cs="Times New Roman"/>
          <w:sz w:val="24"/>
          <w:szCs w:val="24"/>
        </w:rPr>
        <w:t xml:space="preserve"> is forecast to increase jobs by </w:t>
      </w:r>
      <w:r w:rsidR="00A60FAA">
        <w:rPr>
          <w:rFonts w:ascii="Times New Roman" w:hAnsi="Times New Roman" w:cs="Times New Roman"/>
          <w:sz w:val="24"/>
          <w:szCs w:val="24"/>
        </w:rPr>
        <w:t>78</w:t>
      </w:r>
      <w:r w:rsidR="00946331">
        <w:rPr>
          <w:rFonts w:ascii="Times New Roman" w:hAnsi="Times New Roman" w:cs="Times New Roman"/>
          <w:sz w:val="24"/>
          <w:szCs w:val="24"/>
        </w:rPr>
        <w:t xml:space="preserve"> and have around 5</w:t>
      </w:r>
      <w:r w:rsidR="00A60FAA">
        <w:rPr>
          <w:rFonts w:ascii="Times New Roman" w:hAnsi="Times New Roman" w:cs="Times New Roman"/>
          <w:sz w:val="24"/>
          <w:szCs w:val="24"/>
        </w:rPr>
        <w:t>69</w:t>
      </w:r>
      <w:r w:rsidR="00946331">
        <w:rPr>
          <w:rFonts w:ascii="Times New Roman" w:hAnsi="Times New Roman" w:cs="Times New Roman"/>
          <w:sz w:val="24"/>
          <w:szCs w:val="24"/>
        </w:rPr>
        <w:t xml:space="preserve"> annual job openings.  Overall, the occupational family is slated to have 1,</w:t>
      </w:r>
      <w:r w:rsidR="00A60FAA">
        <w:rPr>
          <w:rFonts w:ascii="Times New Roman" w:hAnsi="Times New Roman" w:cs="Times New Roman"/>
          <w:sz w:val="24"/>
          <w:szCs w:val="24"/>
        </w:rPr>
        <w:t>511</w:t>
      </w:r>
      <w:r w:rsidR="00946331">
        <w:rPr>
          <w:rFonts w:ascii="Times New Roman" w:hAnsi="Times New Roman" w:cs="Times New Roman"/>
          <w:sz w:val="24"/>
          <w:szCs w:val="24"/>
        </w:rPr>
        <w:t xml:space="preserve"> annual job openings.</w:t>
      </w:r>
    </w:p>
    <w:p w:rsidR="000D6138" w:rsidRDefault="000D6138" w:rsidP="000D6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302D" w:rsidRPr="00EF7503" w:rsidRDefault="00003B16" w:rsidP="00EF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AD7" w:rsidRPr="00CC2B88" w:rsidRDefault="007B4A77" w:rsidP="00EF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B368037" wp14:editId="74E1A993">
            <wp:extent cx="6005513" cy="3724275"/>
            <wp:effectExtent l="57150" t="57150" r="52705" b="476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0AD7" w:rsidRDefault="00490AD7" w:rsidP="000960E8">
      <w:pPr>
        <w:rPr>
          <w:rFonts w:ascii="Times New Roman" w:hAnsi="Times New Roman" w:cs="Times New Roman"/>
          <w:sz w:val="24"/>
          <w:szCs w:val="24"/>
        </w:rPr>
      </w:pPr>
    </w:p>
    <w:p w:rsidR="003A4556" w:rsidRDefault="003A4556" w:rsidP="000960E8">
      <w:pPr>
        <w:rPr>
          <w:rFonts w:ascii="Times New Roman" w:hAnsi="Times New Roman" w:cs="Times New Roman"/>
          <w:sz w:val="24"/>
          <w:szCs w:val="24"/>
        </w:rPr>
      </w:pPr>
      <w:r w:rsidRPr="00A93823">
        <w:rPr>
          <w:noProof/>
        </w:rPr>
        <w:drawing>
          <wp:inline distT="0" distB="0" distL="0" distR="0" wp14:anchorId="6DFD8037" wp14:editId="312CA30F">
            <wp:extent cx="6600825" cy="3857625"/>
            <wp:effectExtent l="57150" t="57150" r="47625" b="47625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4BEC" w:rsidRDefault="00F54BEC" w:rsidP="00F54B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519" w:rsidRDefault="00CD7519" w:rsidP="00093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CD">
        <w:rPr>
          <w:rFonts w:ascii="Times New Roman" w:hAnsi="Times New Roman" w:cs="Times New Roman"/>
          <w:b/>
          <w:sz w:val="24"/>
          <w:szCs w:val="24"/>
        </w:rPr>
        <w:lastRenderedPageBreak/>
        <w:t>Workforce Development Area Outlook</w:t>
      </w:r>
      <w:r w:rsidR="00F76A6E" w:rsidRPr="000D6138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0939CD" w:rsidRPr="000939CD">
        <w:rPr>
          <w:rFonts w:ascii="Times New Roman" w:hAnsi="Times New Roman" w:cs="Times New Roman"/>
          <w:b/>
          <w:sz w:val="24"/>
          <w:szCs w:val="24"/>
        </w:rPr>
        <w:t>Food Preparation and Serving Related Occupations</w:t>
      </w:r>
    </w:p>
    <w:tbl>
      <w:tblPr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297"/>
        <w:gridCol w:w="1297"/>
        <w:gridCol w:w="937"/>
        <w:gridCol w:w="877"/>
        <w:gridCol w:w="1106"/>
        <w:gridCol w:w="1106"/>
        <w:gridCol w:w="1106"/>
        <w:gridCol w:w="1106"/>
      </w:tblGrid>
      <w:tr w:rsidR="00C4606F" w:rsidRPr="00C4606F" w:rsidTr="00C4606F">
        <w:trPr>
          <w:trHeight w:val="25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992A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Workforce</w:t>
            </w:r>
            <w:r w:rsidRPr="00C460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Investment</w:t>
            </w:r>
            <w:r w:rsidRPr="00C460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Area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F62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20</w:t>
            </w:r>
            <w:r w:rsidR="00F628E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18</w:t>
            </w:r>
            <w:r w:rsidRPr="00C460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Estimated</w:t>
            </w:r>
            <w:r w:rsidRPr="00C460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Employment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F62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20</w:t>
            </w:r>
            <w:r w:rsidR="00F628E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20</w:t>
            </w:r>
            <w:bookmarkStart w:id="0" w:name="_GoBack"/>
            <w:bookmarkEnd w:id="0"/>
            <w:r w:rsidRPr="00C460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Projected</w:t>
            </w:r>
            <w:r w:rsidRPr="00C460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Employment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992A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Numeric</w:t>
            </w:r>
            <w:r w:rsidRPr="00C460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Change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992A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Percent</w:t>
            </w:r>
            <w:r w:rsidRPr="00C460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992A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Annual</w:t>
            </w:r>
            <w:r w:rsidRPr="00C460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Openings-</w:t>
            </w:r>
            <w:r w:rsidRPr="00C460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Exits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992A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Annual</w:t>
            </w:r>
            <w:r w:rsidRPr="00C460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Openings-</w:t>
            </w:r>
            <w:r w:rsidRPr="00C460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Transfers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992A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Annual</w:t>
            </w:r>
            <w:r w:rsidRPr="00C460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Openings-</w:t>
            </w:r>
            <w:r w:rsidRPr="00C460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992A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Annual</w:t>
            </w:r>
            <w:r w:rsidRPr="00C460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Openings-</w:t>
            </w:r>
            <w:r w:rsidRPr="00C460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Total</w:t>
            </w:r>
          </w:p>
        </w:tc>
      </w:tr>
      <w:tr w:rsidR="00C4606F" w:rsidRPr="00C4606F" w:rsidTr="00992A9B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4606F" w:rsidRPr="00F705E1" w:rsidRDefault="00C4606F" w:rsidP="00C46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05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806</w:t>
            </w:r>
          </w:p>
        </w:tc>
      </w:tr>
      <w:tr w:rsidR="00C4606F" w:rsidRPr="00C4606F" w:rsidTr="00992A9B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4606F" w:rsidRPr="00F705E1" w:rsidRDefault="00C4606F" w:rsidP="00C46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05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</w:t>
            </w:r>
          </w:p>
        </w:tc>
      </w:tr>
      <w:tr w:rsidR="00C4606F" w:rsidRPr="00C4606F" w:rsidTr="00992A9B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4606F" w:rsidRPr="00F705E1" w:rsidRDefault="00C4606F" w:rsidP="00C46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05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Northeast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</w:t>
            </w:r>
          </w:p>
        </w:tc>
      </w:tr>
      <w:tr w:rsidR="00C4606F" w:rsidRPr="00C4606F" w:rsidTr="00992A9B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4606F" w:rsidRPr="00F705E1" w:rsidRDefault="00C4606F" w:rsidP="00C46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05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Western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</w:t>
            </w:r>
          </w:p>
        </w:tc>
      </w:tr>
      <w:tr w:rsidR="00C4606F" w:rsidRPr="00C4606F" w:rsidTr="00992A9B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4606F" w:rsidRPr="00F705E1" w:rsidRDefault="00C4606F" w:rsidP="00C46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05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West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092</w:t>
            </w:r>
          </w:p>
        </w:tc>
      </w:tr>
      <w:tr w:rsidR="00C4606F" w:rsidRPr="00C4606F" w:rsidTr="00C4606F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4606F" w:rsidRPr="00F705E1" w:rsidRDefault="00C4606F" w:rsidP="00C46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05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089</w:t>
            </w:r>
          </w:p>
        </w:tc>
      </w:tr>
      <w:tr w:rsidR="00C4606F" w:rsidRPr="00C4606F" w:rsidTr="00C4606F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4606F" w:rsidRPr="00F705E1" w:rsidRDefault="00C4606F" w:rsidP="00C46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05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City of Little Rock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356</w:t>
            </w:r>
          </w:p>
        </w:tc>
      </w:tr>
      <w:tr w:rsidR="00C4606F" w:rsidRPr="00C4606F" w:rsidTr="00C4606F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4606F" w:rsidRPr="00F705E1" w:rsidRDefault="00C4606F" w:rsidP="00C46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05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Eastern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579</w:t>
            </w:r>
          </w:p>
        </w:tc>
      </w:tr>
      <w:tr w:rsidR="00C4606F" w:rsidRPr="00C4606F" w:rsidTr="00992A9B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4606F" w:rsidRPr="00F705E1" w:rsidRDefault="00C4606F" w:rsidP="00C46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05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016</w:t>
            </w:r>
          </w:p>
        </w:tc>
      </w:tr>
      <w:tr w:rsidR="00C4606F" w:rsidRPr="00C4606F" w:rsidTr="00C4606F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4606F" w:rsidRPr="00F705E1" w:rsidRDefault="00C4606F" w:rsidP="00C46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05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Southeast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4606F" w:rsidRPr="00C4606F" w:rsidRDefault="00C4606F" w:rsidP="00C46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0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847</w:t>
            </w:r>
          </w:p>
        </w:tc>
      </w:tr>
    </w:tbl>
    <w:p w:rsidR="00C4606F" w:rsidRPr="000939CD" w:rsidRDefault="00C4606F" w:rsidP="000939C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05E1" w:rsidRPr="00D935FB" w:rsidRDefault="00F705E1" w:rsidP="00CD7519">
      <w:pPr>
        <w:rPr>
          <w:rFonts w:ascii="Times New Roman" w:hAnsi="Times New Roman" w:cs="Times New Roman"/>
          <w:sz w:val="24"/>
          <w:szCs w:val="24"/>
        </w:rPr>
      </w:pPr>
    </w:p>
    <w:sectPr w:rsidR="00F705E1" w:rsidRPr="00D935FB" w:rsidSect="00EF7503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D7"/>
    <w:rsid w:val="00003B16"/>
    <w:rsid w:val="00035EEF"/>
    <w:rsid w:val="000429F7"/>
    <w:rsid w:val="00066B43"/>
    <w:rsid w:val="00070BD4"/>
    <w:rsid w:val="000939CD"/>
    <w:rsid w:val="000960E8"/>
    <w:rsid w:val="000D6138"/>
    <w:rsid w:val="001376C6"/>
    <w:rsid w:val="00154FDA"/>
    <w:rsid w:val="00210BB9"/>
    <w:rsid w:val="0029218E"/>
    <w:rsid w:val="002B46A7"/>
    <w:rsid w:val="002E0A24"/>
    <w:rsid w:val="003369C7"/>
    <w:rsid w:val="003A4556"/>
    <w:rsid w:val="003A6F63"/>
    <w:rsid w:val="00440DB3"/>
    <w:rsid w:val="00457BC4"/>
    <w:rsid w:val="00490AD7"/>
    <w:rsid w:val="004C5FE6"/>
    <w:rsid w:val="004D0738"/>
    <w:rsid w:val="00504AAD"/>
    <w:rsid w:val="00580031"/>
    <w:rsid w:val="005F6BBA"/>
    <w:rsid w:val="00620B30"/>
    <w:rsid w:val="006468CA"/>
    <w:rsid w:val="00752A6F"/>
    <w:rsid w:val="00773BB3"/>
    <w:rsid w:val="007A42B0"/>
    <w:rsid w:val="007B4A77"/>
    <w:rsid w:val="00824A83"/>
    <w:rsid w:val="00946331"/>
    <w:rsid w:val="00A304F2"/>
    <w:rsid w:val="00A60FAA"/>
    <w:rsid w:val="00A903FA"/>
    <w:rsid w:val="00AF4491"/>
    <w:rsid w:val="00BE0E5F"/>
    <w:rsid w:val="00BF17AA"/>
    <w:rsid w:val="00C22185"/>
    <w:rsid w:val="00C4606F"/>
    <w:rsid w:val="00C8302D"/>
    <w:rsid w:val="00CC2B88"/>
    <w:rsid w:val="00CD7519"/>
    <w:rsid w:val="00CE1B52"/>
    <w:rsid w:val="00CF53CC"/>
    <w:rsid w:val="00D257C2"/>
    <w:rsid w:val="00D935FB"/>
    <w:rsid w:val="00DC7D11"/>
    <w:rsid w:val="00E37267"/>
    <w:rsid w:val="00E61819"/>
    <w:rsid w:val="00E65C24"/>
    <w:rsid w:val="00EC493B"/>
    <w:rsid w:val="00EF6C8A"/>
    <w:rsid w:val="00EF7503"/>
    <w:rsid w:val="00F127EA"/>
    <w:rsid w:val="00F54BEC"/>
    <w:rsid w:val="00F628E0"/>
    <w:rsid w:val="00F705E1"/>
    <w:rsid w:val="00F76A6E"/>
    <w:rsid w:val="00FA0B7E"/>
    <w:rsid w:val="00FB210B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78BD6-4095-43F4-96F3-813819E1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0A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0A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Percent Change by Occupational Family</a:t>
            </a:r>
            <a:br>
              <a:rPr lang="en-US" b="1"/>
            </a:br>
            <a:r>
              <a:rPr lang="en-US" b="1"/>
              <a:t>Food Preparation and Serving</a:t>
            </a:r>
            <a:r>
              <a:rPr lang="en-US" b="1" baseline="0"/>
              <a:t> Related</a:t>
            </a:r>
            <a:r>
              <a:rPr lang="en-US" b="1"/>
              <a:t> Occupations</a:t>
            </a:r>
          </a:p>
        </c:rich>
      </c:tx>
      <c:layout>
        <c:manualLayout>
          <c:xMode val="edge"/>
          <c:yMode val="edge"/>
          <c:x val="0.20210184681763041"/>
          <c:y val="2.48448355720240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Supervisors of Food Preparation and Serving Workers (35-1000)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3148615490421211E-3"/>
                  <c:y val="0.166656597592820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Food Preparation and Serving Related Occupations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2.8500000000000001E-2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Cooks and Food Preparation Workers (35-2000)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9999350562304805E-4"/>
                  <c:y val="0.152031737720764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Food Preparation and Serving Related Occupations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2.2100000000000002E-2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Food and Beverage Serving Workers (35-3000)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1148355715343132E-3"/>
                  <c:y val="0.227053050593739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Food Preparation and Serving Related Occupations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3.7100000000000001E-2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Other Food Preparation and Serving Related Workers (35-9000)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7.7543075172036758E-17"/>
                  <c:y val="0.105711849957374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Food Preparation and Serving Related Occupations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2.52E-2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6482064"/>
        <c:axId val="626482624"/>
        <c:axId val="0"/>
      </c:bar3DChart>
      <c:catAx>
        <c:axId val="6264820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low"/>
        <c:crossAx val="626482624"/>
        <c:crosses val="autoZero"/>
        <c:auto val="1"/>
        <c:lblAlgn val="ctr"/>
        <c:lblOffset val="100"/>
        <c:noMultiLvlLbl val="0"/>
      </c:catAx>
      <c:valAx>
        <c:axId val="626482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6482064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Annual Job Openings by Occupational Family</a:t>
            </a:r>
          </a:p>
        </c:rich>
      </c:tx>
      <c:layout>
        <c:manualLayout>
          <c:xMode val="edge"/>
          <c:yMode val="edge"/>
          <c:x val="0.15964049948301917"/>
          <c:y val="3.300994783059524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593941382327214"/>
          <c:y val="0.20009591393668383"/>
          <c:w val="0.6715677785517572"/>
          <c:h val="0.5149207089854509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Supervisors of Food Preparation and Serving Workers (35-1000)</c:v>
                </c:pt>
                <c:pt idx="1">
                  <c:v>Cooks and Food Preparation Workers (35-2000)</c:v>
                </c:pt>
                <c:pt idx="2">
                  <c:v>Food and Beverage Serving Workers (35-3000)</c:v>
                </c:pt>
                <c:pt idx="3">
                  <c:v>Other Food Preparation and Serving Related Workers (35-3000)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523</c:v>
                </c:pt>
                <c:pt idx="1">
                  <c:v>1752</c:v>
                </c:pt>
                <c:pt idx="2">
                  <c:v>4852</c:v>
                </c:pt>
                <c:pt idx="3">
                  <c:v>714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Supervisors of Food Preparation and Serving Workers (35-1000)</c:v>
                </c:pt>
                <c:pt idx="1">
                  <c:v>Cooks and Food Preparation Workers (35-2000)</c:v>
                </c:pt>
                <c:pt idx="2">
                  <c:v>Food and Beverage Serving Workers (35-3000)</c:v>
                </c:pt>
                <c:pt idx="3">
                  <c:v>Other Food Preparation and Serving Related Workers (35-3000)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1130</c:v>
                </c:pt>
                <c:pt idx="1">
                  <c:v>2297</c:v>
                </c:pt>
                <c:pt idx="2">
                  <c:v>5790</c:v>
                </c:pt>
                <c:pt idx="3">
                  <c:v>698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Sheet1!$A$2:$A$5</c:f>
              <c:strCache>
                <c:ptCount val="4"/>
                <c:pt idx="0">
                  <c:v>Supervisors of Food Preparation and Serving Workers (35-1000)</c:v>
                </c:pt>
                <c:pt idx="1">
                  <c:v>Cooks and Food Preparation Workers (35-2000)</c:v>
                </c:pt>
                <c:pt idx="2">
                  <c:v>Food and Beverage Serving Workers (35-3000)</c:v>
                </c:pt>
                <c:pt idx="3">
                  <c:v>Other Food Preparation and Serving Related Workers (35-3000)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>
                  <c:v>167</c:v>
                </c:pt>
                <c:pt idx="1">
                  <c:v>310</c:v>
                </c:pt>
                <c:pt idx="2">
                  <c:v>1063</c:v>
                </c:pt>
                <c:pt idx="3">
                  <c:v>99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dLbl>
              <c:idx val="0"/>
              <c:layout>
                <c:manualLayout>
                  <c:x val="8.0914128158222649E-3"/>
                  <c:y val="5.272415022196329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58925588846848E-2"/>
                  <c:y val="3.292699523670652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3368328958880142E-2"/>
                  <c:y val="6.584621366773598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5891763529558805E-2"/>
                  <c:y val="-6.504001814587991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Sheet1!$A$2:$A$5</c:f>
              <c:strCache>
                <c:ptCount val="4"/>
                <c:pt idx="0">
                  <c:v>Supervisors of Food Preparation and Serving Workers (35-1000)</c:v>
                </c:pt>
                <c:pt idx="1">
                  <c:v>Cooks and Food Preparation Workers (35-2000)</c:v>
                </c:pt>
                <c:pt idx="2">
                  <c:v>Food and Beverage Serving Workers (35-3000)</c:v>
                </c:pt>
                <c:pt idx="3">
                  <c:v>Other Food Preparation and Serving Related Workers (35-3000)</c:v>
                </c:pt>
              </c:strCache>
            </c:strRef>
          </c:cat>
          <c:val>
            <c:numRef>
              <c:f>Sheet1!$E$2:$E$5</c:f>
              <c:numCache>
                <c:formatCode>#,##0</c:formatCode>
                <c:ptCount val="4"/>
                <c:pt idx="0">
                  <c:v>1820</c:v>
                </c:pt>
                <c:pt idx="1">
                  <c:v>4359</c:v>
                </c:pt>
                <c:pt idx="2">
                  <c:v>11705</c:v>
                </c:pt>
                <c:pt idx="3">
                  <c:v>1511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626486544"/>
        <c:axId val="626487104"/>
      </c:barChart>
      <c:catAx>
        <c:axId val="62648654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/>
        </c:spPr>
        <c:txPr>
          <a:bodyPr rot="0" vert="horz" anchor="ctr" anchorCtr="1"/>
          <a:lstStyle/>
          <a:p>
            <a:pPr>
              <a:defRPr/>
            </a:pPr>
            <a:endParaRPr lang="en-US"/>
          </a:p>
        </c:txPr>
        <c:crossAx val="626487104"/>
        <c:crossesAt val="0"/>
        <c:auto val="1"/>
        <c:lblAlgn val="ctr"/>
        <c:lblOffset val="100"/>
        <c:tickLblSkip val="1"/>
        <c:noMultiLvlLbl val="0"/>
      </c:catAx>
      <c:valAx>
        <c:axId val="626487104"/>
        <c:scaling>
          <c:orientation val="minMax"/>
          <c:max val="14000"/>
          <c:min val="0"/>
        </c:scaling>
        <c:delete val="0"/>
        <c:axPos val="t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626486544"/>
        <c:crosses val="autoZero"/>
        <c:crossBetween val="between"/>
        <c:majorUnit val="2000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35569053868266465"/>
          <c:y val="0.7851670393052721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0.52525</cdr:x>
      <cdr:y>0.88159</cdr:y>
    </cdr:from>
    <cdr:to>
      <cdr:x>1</cdr:x>
      <cdr:y>0.9679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67100" y="3400848"/>
          <a:ext cx="3133725" cy="3329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Arial" pitchFamily="34" charset="0"/>
              <a:cs typeface="Arial" pitchFamily="34" charset="0"/>
            </a:rPr>
            <a:t>*</a:t>
          </a:r>
          <a:r>
            <a:rPr lang="en-US" sz="1000"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7720B-9F33-4BE2-A537-87F616EB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Pulliam</dc:creator>
  <cp:keywords/>
  <dc:description/>
  <cp:lastModifiedBy>Brian Pulliam</cp:lastModifiedBy>
  <cp:revision>24</cp:revision>
  <cp:lastPrinted>2017-07-17T20:28:00Z</cp:lastPrinted>
  <dcterms:created xsi:type="dcterms:W3CDTF">2016-08-09T16:00:00Z</dcterms:created>
  <dcterms:modified xsi:type="dcterms:W3CDTF">2019-08-14T16:30:00Z</dcterms:modified>
</cp:coreProperties>
</file>