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98" w:rsidRDefault="00A267B5" w:rsidP="00A267B5">
      <w:pPr>
        <w:rPr>
          <w:rFonts w:ascii="Times New Roman" w:hAnsi="Times New Roman" w:cs="Times New Roman"/>
          <w:sz w:val="24"/>
          <w:szCs w:val="24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-28575</wp:posOffset>
                </wp:positionH>
                <wp:positionV relativeFrom="margin">
                  <wp:posOffset>495300</wp:posOffset>
                </wp:positionV>
                <wp:extent cx="6724650" cy="2009775"/>
                <wp:effectExtent l="0" t="0" r="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2009775"/>
                          <a:chOff x="-5850" y="-74305"/>
                          <a:chExt cx="2152753" cy="2122488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3"/>
                            <a:ext cx="2146903" cy="14149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Pr="00A267B5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018</w:t>
                              </w:r>
                              <w:r w:rsidR="00D935FB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B67D69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75</w:t>
                              </w:r>
                              <w:r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A267B5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Farmworkers and Laborers, Crop, Nursery, and Greenhouse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="0017163D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45-209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17163D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B67D69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522</w:t>
                              </w:r>
                              <w:r w:rsidR="000429F7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A267B5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Agricultural Equipment Operators</w:t>
                              </w:r>
                              <w:r w:rsidR="0017163D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(45-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2091</w:t>
                              </w:r>
                              <w:r w:rsidR="0017163D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0429F7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8.47</w:t>
                              </w:r>
                              <w:r w:rsidR="00B67D69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B67D69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</w:t>
                              </w:r>
                              <w:r w:rsidR="000429F7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Loser:  </w:t>
                              </w:r>
                              <w:r w:rsidR="00A267B5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Agricultural Inspectors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(45-2011) – 3 jobs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</w:r>
                              <w:r w:rsidR="00B67D69" w:rsidRP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</w:t>
                              </w:r>
                              <w:r w:rsidR="00A267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astest Loser:  Logging Workers, All Other (45-2099) – 0.88%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AE39BE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AE39BE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Short-Term Outlook</w:t>
                              </w:r>
                              <w:r w:rsidR="0029218E" w:rsidRPr="00AE39BE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 xml:space="preserve"> 201</w:t>
                              </w:r>
                              <w:r w:rsidR="00A267B5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8</w:t>
                              </w:r>
                              <w:r w:rsidR="0029218E" w:rsidRPr="00AE39BE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-20</w:t>
                              </w:r>
                              <w:r w:rsidR="00A267B5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-2.25pt;margin-top:39pt;width:529.5pt;height:158.25pt;z-index:-251658240;mso-wrap-distance-left:18pt;mso-wrap-distance-right:18pt;mso-position-horizontal-relative:margin;mso-position-vertical-relative:margin;mso-width-relative:margin;mso-height-relative:margin" coordorigin="-58,-743" coordsize="21527,2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4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Pr="00A267B5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018</w:t>
                        </w:r>
                        <w:r w:rsidR="00D935FB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 w:rsidR="00B67D69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75</w:t>
                        </w:r>
                        <w:r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A267B5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Farmworkers and Laborers, Crop, Nursery, and Greenhouse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</w:t>
                        </w:r>
                        <w:r w:rsidR="0017163D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45-209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 w:rsidR="0017163D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B67D69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522</w:t>
                        </w:r>
                        <w:r w:rsidR="000429F7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A267B5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Agricultural Equipment Operators</w:t>
                        </w:r>
                        <w:r w:rsidR="0017163D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(45-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2091</w:t>
                        </w:r>
                        <w:r w:rsidR="0017163D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0429F7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8.47</w:t>
                        </w:r>
                        <w:r w:rsidR="00B67D69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="00B67D69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</w:t>
                        </w:r>
                        <w:r w:rsidR="000429F7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Loser:  </w:t>
                        </w:r>
                        <w:r w:rsidR="00A267B5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Agricultural Inspectors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(45-2011) – 3 jobs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</w:r>
                        <w:r w:rsidR="00B67D69" w:rsidRP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</w:t>
                        </w:r>
                        <w:r w:rsidR="00A267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astest Loser:  Logging Workers, All Other (45-2099) – 0.88%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fVcUA&#10;AADcAAAADwAAAGRycy9kb3ducmV2LnhtbESPT4vCMBTE74LfITzBi2iyRUSqUXRhQXAv/kHw9to8&#10;22LzUpqs7X77zcLCHoeZ+Q2z3va2Fi9qfeVYw9tMgSDOnam40HC9fEyXIHxANlg7Jg3f5GG7GQ7W&#10;mBrX8Yle51CICGGfooYyhCaV0uclWfQz1xBH7+FaiyHKtpCmxS7CbS0TpRbSYsVxocSG3kvKn+cv&#10;q+E4OSXZ/thx9jkPt3s2KS7q1mk9HvW7FYhAffgP/7UPRkOi5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h9VxQAAANwAAAAPAAAAAAAAAAAAAAAAAJgCAABkcnMv&#10;ZG93bnJldi54bWxQSwUGAAAAAAQABAD1AAAAigMAAAAA&#10;" fillcolor="#f2f2f2 [3052]" stroked="f" strokeweight=".5pt">
                  <v:textbox inset=",7.2pt,,7.2pt">
                    <w:txbxContent>
                      <w:p w:rsidR="00490AD7" w:rsidRPr="00AE39BE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AE39BE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Short-Term Outlook</w:t>
                        </w:r>
                        <w:r w:rsidR="0029218E" w:rsidRPr="00AE39BE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 xml:space="preserve"> 201</w:t>
                        </w:r>
                        <w:r w:rsidR="00A267B5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8</w:t>
                        </w:r>
                        <w:r w:rsidR="0029218E" w:rsidRPr="00AE39BE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-20</w:t>
                        </w:r>
                        <w:r w:rsidR="00A267B5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E39BE" w:rsidRPr="00AE39B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7151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BE" w:rsidRPr="00AE39BE" w:rsidRDefault="00AE39BE" w:rsidP="00AE39BE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E39B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Farming, Fishing, and Forestry Occupations (45-0000)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1.5pt;margin-top:0;width:528.7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" fillcolor="#823b0b [1605]">
                <v:textbox>
                  <w:txbxContent>
                    <w:p w:rsidR="00AE39BE" w:rsidRPr="00AE39BE" w:rsidRDefault="00AE39BE" w:rsidP="00AE39BE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AE39B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Farming, Fishing, and Forestry Occupations (45-0000)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2098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9C52F3">
        <w:rPr>
          <w:rFonts w:ascii="Times New Roman" w:hAnsi="Times New Roman" w:cs="Times New Roman"/>
          <w:b/>
          <w:sz w:val="24"/>
          <w:szCs w:val="24"/>
        </w:rPr>
        <w:t>Farming, Fishing, and Forestry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DB6281">
        <w:rPr>
          <w:rFonts w:ascii="Times New Roman" w:hAnsi="Times New Roman" w:cs="Times New Roman"/>
          <w:sz w:val="24"/>
          <w:szCs w:val="24"/>
        </w:rPr>
        <w:t>add 1,170 new jobs to the Arkansas labor market</w:t>
      </w:r>
      <w:r>
        <w:rPr>
          <w:rFonts w:ascii="Times New Roman" w:hAnsi="Times New Roman" w:cs="Times New Roman"/>
          <w:sz w:val="24"/>
          <w:szCs w:val="24"/>
        </w:rPr>
        <w:t>, a 5.75 percent gain, becoming the fastest growing occupational supersector in the state</w:t>
      </w:r>
      <w:r w:rsidR="00DB6281">
        <w:rPr>
          <w:rFonts w:ascii="Times New Roman" w:hAnsi="Times New Roman" w:cs="Times New Roman"/>
          <w:sz w:val="24"/>
          <w:szCs w:val="24"/>
        </w:rPr>
        <w:t>.</w:t>
      </w:r>
      <w:r w:rsidR="00773BB3">
        <w:rPr>
          <w:rFonts w:ascii="Times New Roman" w:hAnsi="Times New Roman" w:cs="Times New Roman"/>
          <w:sz w:val="24"/>
          <w:szCs w:val="24"/>
        </w:rPr>
        <w:t xml:space="preserve"> </w:t>
      </w:r>
      <w:r w:rsidR="009C52F3">
        <w:rPr>
          <w:rFonts w:ascii="Times New Roman" w:hAnsi="Times New Roman" w:cs="Times New Roman"/>
          <w:sz w:val="24"/>
          <w:szCs w:val="24"/>
        </w:rPr>
        <w:t xml:space="preserve"> </w:t>
      </w:r>
      <w:r w:rsidR="00DB6281">
        <w:rPr>
          <w:rFonts w:ascii="Times New Roman" w:hAnsi="Times New Roman" w:cs="Times New Roman"/>
          <w:sz w:val="24"/>
          <w:szCs w:val="24"/>
        </w:rPr>
        <w:t>Of the 3,619 annual job openings,</w:t>
      </w:r>
      <w:r w:rsidR="009C52F3">
        <w:rPr>
          <w:rFonts w:ascii="Times New Roman" w:hAnsi="Times New Roman" w:cs="Times New Roman"/>
          <w:sz w:val="24"/>
          <w:szCs w:val="24"/>
        </w:rPr>
        <w:t xml:space="preserve"> </w:t>
      </w:r>
      <w:r w:rsidR="00DB6281">
        <w:rPr>
          <w:rFonts w:ascii="Times New Roman" w:hAnsi="Times New Roman" w:cs="Times New Roman"/>
          <w:sz w:val="24"/>
          <w:szCs w:val="24"/>
        </w:rPr>
        <w:t>769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DB6281">
        <w:rPr>
          <w:rFonts w:ascii="Times New Roman" w:hAnsi="Times New Roman" w:cs="Times New Roman"/>
          <w:sz w:val="24"/>
          <w:szCs w:val="24"/>
        </w:rPr>
        <w:t>2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DB6281">
        <w:rPr>
          <w:rFonts w:ascii="Times New Roman" w:hAnsi="Times New Roman" w:cs="Times New Roman"/>
          <w:sz w:val="24"/>
          <w:szCs w:val="24"/>
        </w:rPr>
        <w:t>265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</w:t>
      </w:r>
      <w:r w:rsidR="00DB6281">
        <w:rPr>
          <w:rFonts w:ascii="Times New Roman" w:hAnsi="Times New Roman" w:cs="Times New Roman"/>
          <w:sz w:val="24"/>
          <w:szCs w:val="24"/>
        </w:rPr>
        <w:t>Growth and expansion would account for 585 annual job openings</w:t>
      </w:r>
      <w:r w:rsidR="009C52F3">
        <w:rPr>
          <w:rFonts w:ascii="Times New Roman" w:hAnsi="Times New Roman" w:cs="Times New Roman"/>
          <w:sz w:val="24"/>
          <w:szCs w:val="24"/>
        </w:rPr>
        <w:t>.</w:t>
      </w:r>
    </w:p>
    <w:p w:rsidR="00EC493B" w:rsidRPr="00CE2098" w:rsidRDefault="00CE2098" w:rsidP="00A267B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2098">
        <w:rPr>
          <w:rFonts w:ascii="Times New Roman" w:hAnsi="Times New Roman" w:cs="Times New Roman"/>
          <w:b/>
          <w:i/>
          <w:sz w:val="24"/>
          <w:szCs w:val="24"/>
        </w:rPr>
        <w:t>Supervisors of Farming, Fishing, and Forestry Workers</w:t>
      </w:r>
      <w:r w:rsidRPr="00CE2098">
        <w:rPr>
          <w:rFonts w:ascii="Times New Roman" w:hAnsi="Times New Roman" w:cs="Times New Roman"/>
          <w:sz w:val="24"/>
          <w:szCs w:val="24"/>
        </w:rPr>
        <w:t xml:space="preserve"> is expected to</w:t>
      </w:r>
      <w:r>
        <w:rPr>
          <w:rFonts w:ascii="Times New Roman" w:hAnsi="Times New Roman" w:cs="Times New Roman"/>
          <w:sz w:val="24"/>
          <w:szCs w:val="24"/>
        </w:rPr>
        <w:t xml:space="preserve"> gain 40 jobs during the projection period, a 4.43 percent gain.  The occupational family anticipates 140 annual job openings.</w:t>
      </w:r>
      <w:r w:rsidRPr="00CE2098">
        <w:rPr>
          <w:rFonts w:ascii="Times New Roman" w:hAnsi="Times New Roman" w:cs="Times New Roman"/>
          <w:sz w:val="24"/>
          <w:szCs w:val="24"/>
        </w:rPr>
        <w:t xml:space="preserve"> </w:t>
      </w:r>
      <w:r w:rsidR="00EC493B" w:rsidRPr="00CE209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9C52F3">
        <w:rPr>
          <w:rFonts w:ascii="Times New Roman" w:hAnsi="Times New Roman" w:cs="Times New Roman"/>
          <w:sz w:val="24"/>
          <w:szCs w:val="24"/>
        </w:rPr>
        <w:t xml:space="preserve">majority of the </w:t>
      </w:r>
      <w:r w:rsidR="00DB6281">
        <w:rPr>
          <w:rFonts w:ascii="Times New Roman" w:hAnsi="Times New Roman" w:cs="Times New Roman"/>
          <w:sz w:val="24"/>
          <w:szCs w:val="24"/>
        </w:rPr>
        <w:t>gain</w:t>
      </w:r>
      <w:r w:rsidR="009C52F3">
        <w:rPr>
          <w:rFonts w:ascii="Times New Roman" w:hAnsi="Times New Roman" w:cs="Times New Roman"/>
          <w:sz w:val="24"/>
          <w:szCs w:val="24"/>
        </w:rPr>
        <w:t xml:space="preserve"> could come in the </w:t>
      </w:r>
      <w:r w:rsidR="009C52F3" w:rsidRPr="009C52F3">
        <w:rPr>
          <w:rFonts w:ascii="Times New Roman" w:hAnsi="Times New Roman" w:cs="Times New Roman"/>
          <w:b/>
          <w:i/>
          <w:sz w:val="24"/>
          <w:szCs w:val="24"/>
        </w:rPr>
        <w:t>Agricultural Workers</w:t>
      </w:r>
      <w:r w:rsidR="009C52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52F3" w:rsidRPr="009C52F3">
        <w:rPr>
          <w:rFonts w:ascii="Times New Roman" w:hAnsi="Times New Roman" w:cs="Times New Roman"/>
          <w:sz w:val="24"/>
          <w:szCs w:val="24"/>
        </w:rPr>
        <w:t>occupational family</w:t>
      </w:r>
      <w:r w:rsidR="00DB6281">
        <w:rPr>
          <w:rFonts w:ascii="Times New Roman" w:hAnsi="Times New Roman" w:cs="Times New Roman"/>
          <w:sz w:val="24"/>
          <w:szCs w:val="24"/>
        </w:rPr>
        <w:t>,</w:t>
      </w:r>
      <w:r w:rsidR="009C52F3" w:rsidRPr="009C52F3">
        <w:rPr>
          <w:rFonts w:ascii="Times New Roman" w:hAnsi="Times New Roman" w:cs="Times New Roman"/>
          <w:sz w:val="24"/>
          <w:szCs w:val="24"/>
        </w:rPr>
        <w:t xml:space="preserve"> with an anticipated </w:t>
      </w:r>
      <w:r w:rsidR="00DB6281">
        <w:rPr>
          <w:rFonts w:ascii="Times New Roman" w:hAnsi="Times New Roman" w:cs="Times New Roman"/>
          <w:sz w:val="24"/>
          <w:szCs w:val="24"/>
        </w:rPr>
        <w:t>growth</w:t>
      </w:r>
      <w:r w:rsidR="009C52F3" w:rsidRPr="009C52F3">
        <w:rPr>
          <w:rFonts w:ascii="Times New Roman" w:hAnsi="Times New Roman" w:cs="Times New Roman"/>
          <w:sz w:val="24"/>
          <w:szCs w:val="24"/>
        </w:rPr>
        <w:t xml:space="preserve"> of </w:t>
      </w:r>
      <w:r w:rsidR="00DB6281">
        <w:rPr>
          <w:rFonts w:ascii="Times New Roman" w:hAnsi="Times New Roman" w:cs="Times New Roman"/>
          <w:sz w:val="24"/>
          <w:szCs w:val="24"/>
        </w:rPr>
        <w:t>1,114</w:t>
      </w:r>
      <w:r w:rsidR="009C52F3" w:rsidRPr="009C52F3">
        <w:rPr>
          <w:rFonts w:ascii="Times New Roman" w:hAnsi="Times New Roman" w:cs="Times New Roman"/>
          <w:sz w:val="24"/>
          <w:szCs w:val="24"/>
        </w:rPr>
        <w:t xml:space="preserve"> jobs.  Farmworkers and Laborers, Crop, Nursery, and Greenhouse</w:t>
      </w:r>
      <w:r w:rsidR="009C52F3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DB6281">
        <w:rPr>
          <w:rFonts w:ascii="Times New Roman" w:hAnsi="Times New Roman" w:cs="Times New Roman"/>
          <w:sz w:val="24"/>
          <w:szCs w:val="24"/>
        </w:rPr>
        <w:t>gain</w:t>
      </w:r>
      <w:r w:rsidR="009C52F3">
        <w:rPr>
          <w:rFonts w:ascii="Times New Roman" w:hAnsi="Times New Roman" w:cs="Times New Roman"/>
          <w:sz w:val="24"/>
          <w:szCs w:val="24"/>
        </w:rPr>
        <w:t xml:space="preserve"> </w:t>
      </w:r>
      <w:r w:rsidR="00DB6281">
        <w:rPr>
          <w:rFonts w:ascii="Times New Roman" w:hAnsi="Times New Roman" w:cs="Times New Roman"/>
          <w:sz w:val="24"/>
          <w:szCs w:val="24"/>
        </w:rPr>
        <w:t>522</w:t>
      </w:r>
      <w:r w:rsidR="009C52F3">
        <w:rPr>
          <w:rFonts w:ascii="Times New Roman" w:hAnsi="Times New Roman" w:cs="Times New Roman"/>
          <w:sz w:val="24"/>
          <w:szCs w:val="24"/>
        </w:rPr>
        <w:t xml:space="preserve"> jobs, or </w:t>
      </w:r>
      <w:r w:rsidR="00DB6281">
        <w:rPr>
          <w:rFonts w:ascii="Times New Roman" w:hAnsi="Times New Roman" w:cs="Times New Roman"/>
          <w:sz w:val="24"/>
          <w:szCs w:val="24"/>
        </w:rPr>
        <w:t>7</w:t>
      </w:r>
      <w:r w:rsidR="009C52F3">
        <w:rPr>
          <w:rFonts w:ascii="Times New Roman" w:hAnsi="Times New Roman" w:cs="Times New Roman"/>
          <w:sz w:val="24"/>
          <w:szCs w:val="24"/>
        </w:rPr>
        <w:t>.</w:t>
      </w:r>
      <w:r w:rsidR="00DB6281">
        <w:rPr>
          <w:rFonts w:ascii="Times New Roman" w:hAnsi="Times New Roman" w:cs="Times New Roman"/>
          <w:sz w:val="24"/>
          <w:szCs w:val="24"/>
        </w:rPr>
        <w:t>65</w:t>
      </w:r>
      <w:r w:rsidR="009C52F3">
        <w:rPr>
          <w:rFonts w:ascii="Times New Roman" w:hAnsi="Times New Roman" w:cs="Times New Roman"/>
          <w:sz w:val="24"/>
          <w:szCs w:val="24"/>
        </w:rPr>
        <w:t xml:space="preserve"> percent of its workforce, while </w:t>
      </w:r>
      <w:r w:rsidR="009C52F3" w:rsidRPr="009C52F3">
        <w:rPr>
          <w:rFonts w:ascii="Times New Roman" w:hAnsi="Times New Roman" w:cs="Times New Roman"/>
          <w:sz w:val="24"/>
          <w:szCs w:val="24"/>
        </w:rPr>
        <w:t xml:space="preserve">Farmworkers, Farm, Ranch, and </w:t>
      </w:r>
      <w:proofErr w:type="spellStart"/>
      <w:r w:rsidR="009C52F3" w:rsidRPr="009C52F3">
        <w:rPr>
          <w:rFonts w:ascii="Times New Roman" w:hAnsi="Times New Roman" w:cs="Times New Roman"/>
          <w:sz w:val="24"/>
          <w:szCs w:val="24"/>
        </w:rPr>
        <w:t>Aquacultural</w:t>
      </w:r>
      <w:proofErr w:type="spellEnd"/>
      <w:r w:rsidR="009C52F3" w:rsidRPr="009C52F3">
        <w:rPr>
          <w:rFonts w:ascii="Times New Roman" w:hAnsi="Times New Roman" w:cs="Times New Roman"/>
          <w:sz w:val="24"/>
          <w:szCs w:val="24"/>
        </w:rPr>
        <w:t xml:space="preserve"> Animals</w:t>
      </w:r>
      <w:r w:rsidR="009C52F3">
        <w:rPr>
          <w:rFonts w:ascii="Times New Roman" w:hAnsi="Times New Roman" w:cs="Times New Roman"/>
          <w:sz w:val="24"/>
          <w:szCs w:val="24"/>
        </w:rPr>
        <w:t xml:space="preserve"> could </w:t>
      </w:r>
      <w:r w:rsidR="00DB6281">
        <w:rPr>
          <w:rFonts w:ascii="Times New Roman" w:hAnsi="Times New Roman" w:cs="Times New Roman"/>
          <w:sz w:val="24"/>
          <w:szCs w:val="24"/>
        </w:rPr>
        <w:t>gain 411, an increase of 6.50 percent.</w:t>
      </w:r>
      <w:r w:rsidR="002506D2">
        <w:rPr>
          <w:rFonts w:ascii="Times New Roman" w:hAnsi="Times New Roman" w:cs="Times New Roman"/>
          <w:sz w:val="24"/>
          <w:szCs w:val="24"/>
        </w:rPr>
        <w:t xml:space="preserve">  The </w:t>
      </w:r>
      <w:r w:rsidR="002506D2">
        <w:rPr>
          <w:rFonts w:ascii="Times New Roman" w:hAnsi="Times New Roman" w:cs="Times New Roman"/>
          <w:b/>
          <w:i/>
          <w:sz w:val="24"/>
          <w:szCs w:val="24"/>
        </w:rPr>
        <w:t xml:space="preserve">Agricultural Workers </w:t>
      </w:r>
      <w:r w:rsidR="002506D2">
        <w:rPr>
          <w:rFonts w:ascii="Times New Roman" w:hAnsi="Times New Roman" w:cs="Times New Roman"/>
          <w:sz w:val="24"/>
          <w:szCs w:val="24"/>
        </w:rPr>
        <w:t xml:space="preserve">family is slated to have </w:t>
      </w:r>
      <w:r w:rsidR="00DB6281">
        <w:rPr>
          <w:rFonts w:ascii="Times New Roman" w:hAnsi="Times New Roman" w:cs="Times New Roman"/>
          <w:sz w:val="24"/>
          <w:szCs w:val="24"/>
        </w:rPr>
        <w:t>3</w:t>
      </w:r>
      <w:r w:rsidR="002506D2">
        <w:rPr>
          <w:rFonts w:ascii="Times New Roman" w:hAnsi="Times New Roman" w:cs="Times New Roman"/>
          <w:sz w:val="24"/>
          <w:szCs w:val="24"/>
        </w:rPr>
        <w:t>,1</w:t>
      </w:r>
      <w:r w:rsidR="00DB6281">
        <w:rPr>
          <w:rFonts w:ascii="Times New Roman" w:hAnsi="Times New Roman" w:cs="Times New Roman"/>
          <w:sz w:val="24"/>
          <w:szCs w:val="24"/>
        </w:rPr>
        <w:t>33</w:t>
      </w:r>
      <w:r w:rsidR="002506D2">
        <w:rPr>
          <w:rFonts w:ascii="Times New Roman" w:hAnsi="Times New Roman" w:cs="Times New Roman"/>
          <w:sz w:val="24"/>
          <w:szCs w:val="24"/>
        </w:rPr>
        <w:t xml:space="preserve"> annual job openings</w:t>
      </w:r>
      <w:r w:rsidR="00035E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02D" w:rsidRPr="00EF7503" w:rsidRDefault="00035EEF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2506D2" w:rsidRPr="002506D2">
        <w:rPr>
          <w:rFonts w:ascii="Times New Roman" w:hAnsi="Times New Roman" w:cs="Times New Roman"/>
          <w:b/>
          <w:i/>
          <w:sz w:val="24"/>
          <w:szCs w:val="24"/>
        </w:rPr>
        <w:t>Forest, Conservation, and Logging Workers</w:t>
      </w:r>
      <w:r w:rsidR="002506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06D2" w:rsidRPr="002506D2">
        <w:rPr>
          <w:rFonts w:ascii="Times New Roman" w:hAnsi="Times New Roman" w:cs="Times New Roman"/>
          <w:sz w:val="24"/>
          <w:szCs w:val="24"/>
        </w:rPr>
        <w:t xml:space="preserve">occupational family is predicted to </w:t>
      </w:r>
      <w:r w:rsidR="00DB6281">
        <w:rPr>
          <w:rFonts w:ascii="Times New Roman" w:hAnsi="Times New Roman" w:cs="Times New Roman"/>
          <w:sz w:val="24"/>
          <w:szCs w:val="24"/>
        </w:rPr>
        <w:t>gain</w:t>
      </w:r>
      <w:r w:rsidR="002506D2" w:rsidRPr="002506D2">
        <w:rPr>
          <w:rFonts w:ascii="Times New Roman" w:hAnsi="Times New Roman" w:cs="Times New Roman"/>
          <w:sz w:val="24"/>
          <w:szCs w:val="24"/>
        </w:rPr>
        <w:t xml:space="preserve"> </w:t>
      </w:r>
      <w:r w:rsidR="00DB6281">
        <w:rPr>
          <w:rFonts w:ascii="Times New Roman" w:hAnsi="Times New Roman" w:cs="Times New Roman"/>
          <w:sz w:val="24"/>
          <w:szCs w:val="24"/>
        </w:rPr>
        <w:t>16</w:t>
      </w:r>
      <w:r w:rsidR="002506D2" w:rsidRPr="002506D2">
        <w:rPr>
          <w:rFonts w:ascii="Times New Roman" w:hAnsi="Times New Roman" w:cs="Times New Roman"/>
          <w:sz w:val="24"/>
          <w:szCs w:val="24"/>
        </w:rPr>
        <w:t xml:space="preserve"> jobs during the projection period.  Logging Equipment Operators could see the majority of that </w:t>
      </w:r>
      <w:r w:rsidR="00DB6281">
        <w:rPr>
          <w:rFonts w:ascii="Times New Roman" w:hAnsi="Times New Roman" w:cs="Times New Roman"/>
          <w:sz w:val="24"/>
          <w:szCs w:val="24"/>
        </w:rPr>
        <w:t>gain</w:t>
      </w:r>
      <w:r w:rsidR="002506D2" w:rsidRPr="002506D2">
        <w:rPr>
          <w:rFonts w:ascii="Times New Roman" w:hAnsi="Times New Roman" w:cs="Times New Roman"/>
          <w:sz w:val="24"/>
          <w:szCs w:val="24"/>
        </w:rPr>
        <w:t xml:space="preserve"> with a</w:t>
      </w:r>
      <w:r w:rsidR="00DB6281">
        <w:rPr>
          <w:rFonts w:ascii="Times New Roman" w:hAnsi="Times New Roman" w:cs="Times New Roman"/>
          <w:sz w:val="24"/>
          <w:szCs w:val="24"/>
        </w:rPr>
        <w:t>n</w:t>
      </w:r>
      <w:r w:rsidR="002506D2" w:rsidRPr="002506D2">
        <w:rPr>
          <w:rFonts w:ascii="Times New Roman" w:hAnsi="Times New Roman" w:cs="Times New Roman"/>
          <w:sz w:val="24"/>
          <w:szCs w:val="24"/>
        </w:rPr>
        <w:t xml:space="preserve"> </w:t>
      </w:r>
      <w:r w:rsidR="00DB6281">
        <w:rPr>
          <w:rFonts w:ascii="Times New Roman" w:hAnsi="Times New Roman" w:cs="Times New Roman"/>
          <w:sz w:val="24"/>
          <w:szCs w:val="24"/>
        </w:rPr>
        <w:t xml:space="preserve">increase of 12 jobs.  </w:t>
      </w:r>
      <w:r w:rsidR="002506D2" w:rsidRPr="002506D2">
        <w:rPr>
          <w:rFonts w:ascii="Times New Roman" w:hAnsi="Times New Roman" w:cs="Times New Roman"/>
          <w:sz w:val="24"/>
          <w:szCs w:val="24"/>
        </w:rPr>
        <w:t xml:space="preserve">The occupational family is still predicted to have around </w:t>
      </w:r>
      <w:r w:rsidR="00DB6281">
        <w:rPr>
          <w:rFonts w:ascii="Times New Roman" w:hAnsi="Times New Roman" w:cs="Times New Roman"/>
          <w:sz w:val="24"/>
          <w:szCs w:val="24"/>
        </w:rPr>
        <w:t>344</w:t>
      </w:r>
      <w:r w:rsidR="002506D2" w:rsidRPr="002506D2">
        <w:rPr>
          <w:rFonts w:ascii="Times New Roman" w:hAnsi="Times New Roman" w:cs="Times New Roman"/>
          <w:sz w:val="24"/>
          <w:szCs w:val="24"/>
        </w:rPr>
        <w:t xml:space="preserve"> annual job openings between 20</w:t>
      </w:r>
      <w:r w:rsidR="00DB6281">
        <w:rPr>
          <w:rFonts w:ascii="Times New Roman" w:hAnsi="Times New Roman" w:cs="Times New Roman"/>
          <w:sz w:val="24"/>
          <w:szCs w:val="24"/>
        </w:rPr>
        <w:t>18</w:t>
      </w:r>
      <w:r w:rsidR="002506D2" w:rsidRPr="002506D2">
        <w:rPr>
          <w:rFonts w:ascii="Times New Roman" w:hAnsi="Times New Roman" w:cs="Times New Roman"/>
          <w:sz w:val="24"/>
          <w:szCs w:val="24"/>
        </w:rPr>
        <w:t xml:space="preserve"> and 20</w:t>
      </w:r>
      <w:r w:rsidR="00DB6281">
        <w:rPr>
          <w:rFonts w:ascii="Times New Roman" w:hAnsi="Times New Roman" w:cs="Times New Roman"/>
          <w:sz w:val="24"/>
          <w:szCs w:val="24"/>
        </w:rPr>
        <w:t>20</w:t>
      </w:r>
      <w:r w:rsidR="002506D2" w:rsidRPr="002506D2">
        <w:rPr>
          <w:rFonts w:ascii="Times New Roman" w:hAnsi="Times New Roman" w:cs="Times New Roman"/>
          <w:sz w:val="24"/>
          <w:szCs w:val="24"/>
        </w:rPr>
        <w:t>.</w:t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5810250" cy="3143250"/>
            <wp:effectExtent l="57150" t="57150" r="57150" b="571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468A0" w:rsidRDefault="00D468A0" w:rsidP="000960E8">
      <w:pPr>
        <w:rPr>
          <w:rFonts w:ascii="Times New Roman" w:hAnsi="Times New Roman" w:cs="Times New Roman"/>
          <w:sz w:val="24"/>
          <w:szCs w:val="24"/>
        </w:rPr>
      </w:pPr>
    </w:p>
    <w:p w:rsidR="00F54BEC" w:rsidRDefault="00D468A0" w:rsidP="00F90109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lastRenderedPageBreak/>
        <w:drawing>
          <wp:inline distT="0" distB="0" distL="0" distR="0" wp14:anchorId="31237201" wp14:editId="37D96E2D">
            <wp:extent cx="6400800" cy="3740727"/>
            <wp:effectExtent l="57150" t="57150" r="57150" b="50800"/>
            <wp:docPr id="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7519" w:rsidRDefault="00CD7519" w:rsidP="0073436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470724">
        <w:rPr>
          <w:rFonts w:ascii="Times New Roman" w:hAnsi="Times New Roman" w:cs="Times New Roman"/>
          <w:b/>
          <w:sz w:val="24"/>
          <w:szCs w:val="24"/>
        </w:rPr>
        <w:t>Workforce Development Area Outlook</w:t>
      </w:r>
      <w:r w:rsidR="00F76A6E" w:rsidRPr="00470724">
        <w:rPr>
          <w:rFonts w:ascii="Times New Roman" w:hAnsi="Times New Roman" w:cs="Times New Roman"/>
          <w:b/>
          <w:sz w:val="24"/>
          <w:szCs w:val="24"/>
        </w:rPr>
        <w:br/>
      </w:r>
      <w:r w:rsidR="00D468A0" w:rsidRPr="00470724">
        <w:rPr>
          <w:rFonts w:ascii="Times New Roman" w:hAnsi="Times New Roman" w:cs="Times New Roman"/>
          <w:b/>
          <w:sz w:val="24"/>
          <w:szCs w:val="24"/>
        </w:rPr>
        <w:t>Farming, Fishing, and Forestry</w:t>
      </w:r>
      <w:r w:rsidR="000D6138" w:rsidRPr="00470724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bookmarkEnd w:id="0"/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777210" w:rsidRPr="00777210" w:rsidTr="00777210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777210" w:rsidRPr="00777210" w:rsidRDefault="00777210" w:rsidP="00F6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777210" w:rsidRPr="00777210" w:rsidRDefault="00777210" w:rsidP="00777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777210" w:rsidRPr="00777210" w:rsidRDefault="00777210" w:rsidP="007772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777210" w:rsidRPr="00777210" w:rsidRDefault="00777210" w:rsidP="00F6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77210" w:rsidRPr="00777210" w:rsidRDefault="00777210" w:rsidP="00F6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77210" w:rsidRPr="00777210" w:rsidRDefault="00777210" w:rsidP="00F6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77210" w:rsidRPr="00777210" w:rsidRDefault="00777210" w:rsidP="00F6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777210" w:rsidRPr="00777210" w:rsidRDefault="00777210" w:rsidP="00F6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777210" w:rsidRPr="00777210" w:rsidRDefault="00777210" w:rsidP="00F6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777210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777210" w:rsidRPr="00777210" w:rsidTr="00777210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3,949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4,124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4.43%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683</w:t>
            </w:r>
          </w:p>
        </w:tc>
      </w:tr>
      <w:tr w:rsidR="00777210" w:rsidRPr="00777210" w:rsidTr="00777210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1,613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1,848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14.57%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374</w:t>
            </w:r>
          </w:p>
        </w:tc>
      </w:tr>
      <w:tr w:rsidR="00777210" w:rsidRPr="00777210" w:rsidTr="00777210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2,189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2,472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12.93%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</w:t>
            </w:r>
          </w:p>
        </w:tc>
      </w:tr>
      <w:tr w:rsidR="00777210" w:rsidRPr="00777210" w:rsidTr="00777210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1,871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3.48%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</w:t>
            </w:r>
          </w:p>
        </w:tc>
      </w:tr>
      <w:tr w:rsidR="00777210" w:rsidRPr="00777210" w:rsidTr="00777210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2,285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2,435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6.56%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</w:t>
            </w:r>
          </w:p>
        </w:tc>
      </w:tr>
      <w:tr w:rsidR="00777210" w:rsidRPr="00777210" w:rsidTr="00777210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1,414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1,497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5.87%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</w:t>
            </w:r>
          </w:p>
        </w:tc>
      </w:tr>
      <w:tr w:rsidR="00777210" w:rsidRPr="00777210" w:rsidTr="00777210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1,072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1,092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1.87%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</w:t>
            </w:r>
          </w:p>
        </w:tc>
      </w:tr>
      <w:tr w:rsidR="00777210" w:rsidRPr="00777210" w:rsidTr="00777210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1,989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2,019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1.51%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</w:t>
            </w:r>
          </w:p>
        </w:tc>
      </w:tr>
      <w:tr w:rsidR="00777210" w:rsidRPr="00777210" w:rsidTr="00777210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sz w:val="18"/>
                <w:szCs w:val="18"/>
              </w:rPr>
              <w:t xml:space="preserve">Southeast Arkansas 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2,525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5.12%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777210" w:rsidRPr="00777210" w:rsidRDefault="00777210" w:rsidP="007772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72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</w:t>
            </w:r>
          </w:p>
        </w:tc>
      </w:tr>
    </w:tbl>
    <w:p w:rsidR="00777210" w:rsidRPr="00F90109" w:rsidRDefault="00777210" w:rsidP="0073436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6638" w:rsidRPr="00F90109" w:rsidRDefault="00456638" w:rsidP="00CD751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56638" w:rsidRPr="00F90109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60E8"/>
    <w:rsid w:val="000D6138"/>
    <w:rsid w:val="00154FDA"/>
    <w:rsid w:val="0017163D"/>
    <w:rsid w:val="002506D2"/>
    <w:rsid w:val="0029218E"/>
    <w:rsid w:val="002E0A24"/>
    <w:rsid w:val="003369C7"/>
    <w:rsid w:val="003A4556"/>
    <w:rsid w:val="003A6F63"/>
    <w:rsid w:val="00440DB3"/>
    <w:rsid w:val="00447086"/>
    <w:rsid w:val="004511D3"/>
    <w:rsid w:val="00456638"/>
    <w:rsid w:val="00457BC4"/>
    <w:rsid w:val="00470724"/>
    <w:rsid w:val="00490AD7"/>
    <w:rsid w:val="004D0738"/>
    <w:rsid w:val="00504AAD"/>
    <w:rsid w:val="00580031"/>
    <w:rsid w:val="005F6BBA"/>
    <w:rsid w:val="006468CA"/>
    <w:rsid w:val="00734360"/>
    <w:rsid w:val="00752A6F"/>
    <w:rsid w:val="00773BB3"/>
    <w:rsid w:val="00777210"/>
    <w:rsid w:val="007B4A77"/>
    <w:rsid w:val="009C52F3"/>
    <w:rsid w:val="00A267B5"/>
    <w:rsid w:val="00A304F2"/>
    <w:rsid w:val="00A903FA"/>
    <w:rsid w:val="00AE39BE"/>
    <w:rsid w:val="00AF4491"/>
    <w:rsid w:val="00B67D69"/>
    <w:rsid w:val="00BE0E5F"/>
    <w:rsid w:val="00C8302D"/>
    <w:rsid w:val="00CC2B88"/>
    <w:rsid w:val="00CD7519"/>
    <w:rsid w:val="00CE1B52"/>
    <w:rsid w:val="00CE2098"/>
    <w:rsid w:val="00CF53CC"/>
    <w:rsid w:val="00D22868"/>
    <w:rsid w:val="00D257C2"/>
    <w:rsid w:val="00D468A0"/>
    <w:rsid w:val="00D935FB"/>
    <w:rsid w:val="00DB6281"/>
    <w:rsid w:val="00E61819"/>
    <w:rsid w:val="00EC493B"/>
    <w:rsid w:val="00EF6C8A"/>
    <w:rsid w:val="00EF7503"/>
    <w:rsid w:val="00F127EA"/>
    <w:rsid w:val="00F54BEC"/>
    <w:rsid w:val="00F76A6E"/>
    <w:rsid w:val="00F90109"/>
    <w:rsid w:val="00FA0B7E"/>
    <w:rsid w:val="00FA3CEF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Farming, Fishing, and Forestry Occupations</a:t>
            </a:r>
          </a:p>
        </c:rich>
      </c:tx>
      <c:layout>
        <c:manualLayout>
          <c:xMode val="edge"/>
          <c:yMode val="edge"/>
          <c:x val="0.25708757167752255"/>
          <c:y val="3.53008885937450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Supervisors of Farming, Fishing, and Forestry Workers (45-1000)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296711430685873E-3"/>
                  <c:y val="0.1325301204819277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Farming, Fishing, and Forestry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4.4299999999999999E-2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Agricultural Workers (45-2000)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374151880163759E-2"/>
                  <c:y val="9.0351959017171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Farming, Fishing, and Forestry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6.6199999999999995E-2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Forest, Conservation, and Logging Workers (45-4000)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9981882353528828E-2"/>
                  <c:y val="-8.5059608512791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Farming, Fishing, and Forestry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6.1000000000000004E-3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537088"/>
        <c:axId val="196537648"/>
        <c:axId val="0"/>
      </c:bar3DChart>
      <c:catAx>
        <c:axId val="1965370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196537648"/>
        <c:crosses val="autoZero"/>
        <c:auto val="1"/>
        <c:lblAlgn val="ctr"/>
        <c:lblOffset val="100"/>
        <c:noMultiLvlLbl val="0"/>
      </c:catAx>
      <c:valAx>
        <c:axId val="196537648"/>
        <c:scaling>
          <c:orientation val="minMax"/>
          <c:max val="8.0000000000000016E-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537088"/>
        <c:crosses val="autoZero"/>
        <c:crossBetween val="between"/>
        <c:majorUnit val="2.0000000000000004E-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422302689587931"/>
          <c:y val="0.77459697055940302"/>
          <c:w val="0.55063008680847503"/>
          <c:h val="0.20405131601540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  <a:br>
              <a:rPr lang="en-US" sz="1600"/>
            </a:br>
            <a:r>
              <a:rPr lang="en-US" sz="1600"/>
              <a:t>Chart 1</a:t>
            </a:r>
          </a:p>
        </c:rich>
      </c:tx>
      <c:layout>
        <c:manualLayout>
          <c:xMode val="edge"/>
          <c:yMode val="edge"/>
          <c:x val="0.13847647831899801"/>
          <c:y val="4.61786721104306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052338154700356"/>
          <c:y val="0.23301772463627232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Agricultural Workers                  (45-2000)</c:v>
                </c:pt>
              </c:strCache>
            </c:strRef>
          </c:cat>
          <c:val>
            <c:numRef>
              <c:f>Sheet1!$B$2</c:f>
              <c:numCache>
                <c:formatCode>#,##0</c:formatCode>
                <c:ptCount val="1"/>
                <c:pt idx="0">
                  <c:v>644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Agricultural Workers                  (45-2000)</c:v>
                </c:pt>
              </c:strCache>
            </c:strRef>
          </c:cat>
          <c:val>
            <c:numRef>
              <c:f>Sheet1!$C$2</c:f>
              <c:numCache>
                <c:formatCode>#,##0</c:formatCode>
                <c:ptCount val="1"/>
                <c:pt idx="0">
                  <c:v>1932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</c:f>
              <c:strCache>
                <c:ptCount val="1"/>
                <c:pt idx="0">
                  <c:v>Agricultural Workers                  (45-2000)</c:v>
                </c:pt>
              </c:strCache>
            </c:strRef>
          </c:cat>
          <c:val>
            <c:numRef>
              <c:f>Sheet1!$D$2</c:f>
              <c:numCache>
                <c:formatCode>#,##0</c:formatCode>
                <c:ptCount val="1"/>
                <c:pt idx="0">
                  <c:v>557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0.1304367257123164"/>
                  <c:y val="1.185703638896995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</c:f>
              <c:strCache>
                <c:ptCount val="1"/>
                <c:pt idx="0">
                  <c:v>Agricultural Workers                  (45-2000)</c:v>
                </c:pt>
              </c:strCache>
            </c:strRef>
          </c:cat>
          <c:val>
            <c:numRef>
              <c:f>Sheet1!$E$2</c:f>
              <c:numCache>
                <c:formatCode>#,##0</c:formatCode>
                <c:ptCount val="1"/>
                <c:pt idx="0">
                  <c:v>3133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99277776"/>
        <c:axId val="199278336"/>
      </c:barChart>
      <c:catAx>
        <c:axId val="19927777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199278336"/>
        <c:crossesAt val="0"/>
        <c:auto val="1"/>
        <c:lblAlgn val="ctr"/>
        <c:lblOffset val="1"/>
        <c:tickLblSkip val="1"/>
        <c:noMultiLvlLbl val="0"/>
      </c:catAx>
      <c:valAx>
        <c:axId val="199278336"/>
        <c:scaling>
          <c:orientation val="minMax"/>
          <c:max val="35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199277776"/>
        <c:crosses val="autoZero"/>
        <c:crossBetween val="between"/>
        <c:majorUnit val="5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018184848106108"/>
          <c:y val="0.78845922037523097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  <a:br>
              <a:rPr lang="en-US" sz="1600"/>
            </a:br>
            <a:r>
              <a:rPr lang="en-US" sz="1600"/>
              <a:t>Chart 2</a:t>
            </a:r>
          </a:p>
        </c:rich>
      </c:tx>
      <c:layout>
        <c:manualLayout>
          <c:xMode val="edge"/>
          <c:yMode val="edge"/>
          <c:x val="0.15386842269716286"/>
          <c:y val="3.290643423392109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2046949988636819"/>
          <c:w val="0.6715677785517572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Supervisors of Farming, Fishing, and Forestry (45-1000)</c:v>
                </c:pt>
                <c:pt idx="1">
                  <c:v>Agricultural Workers (45-2000)</c:v>
                </c:pt>
                <c:pt idx="2">
                  <c:v>Forest, Conservation, and Logging Workers (45-4000)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30</c:v>
                </c:pt>
                <c:pt idx="1">
                  <c:v>644</c:v>
                </c:pt>
                <c:pt idx="2">
                  <c:v>94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Supervisors of Farming, Fishing, and Forestry (45-1000)</c:v>
                </c:pt>
                <c:pt idx="1">
                  <c:v>Agricultural Workers (45-2000)</c:v>
                </c:pt>
                <c:pt idx="2">
                  <c:v>Forest, Conservation, and Logging Workers (45-4000)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90</c:v>
                </c:pt>
                <c:pt idx="1">
                  <c:v>1932</c:v>
                </c:pt>
                <c:pt idx="2">
                  <c:v>242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Sheet1!$A$2:$A$4</c:f>
              <c:strCache>
                <c:ptCount val="3"/>
                <c:pt idx="0">
                  <c:v>Supervisors of Farming, Fishing, and Forestry (45-1000)</c:v>
                </c:pt>
                <c:pt idx="1">
                  <c:v>Agricultural Workers (45-2000)</c:v>
                </c:pt>
                <c:pt idx="2">
                  <c:v>Forest, Conservation, and Logging Workers (45-4000)</c:v>
                </c:pt>
              </c:strCache>
            </c:strRef>
          </c:cat>
          <c:val>
            <c:numRef>
              <c:f>Sheet1!$D$2:$D$4</c:f>
              <c:numCache>
                <c:formatCode>#,##0</c:formatCode>
                <c:ptCount val="3"/>
                <c:pt idx="0">
                  <c:v>20</c:v>
                </c:pt>
                <c:pt idx="1">
                  <c:v>557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Supervisors of Farming, Fishing, and Forestry (45-1000)</c:v>
                </c:pt>
                <c:pt idx="1">
                  <c:v>Agricultural Workers (45-2000)</c:v>
                </c:pt>
                <c:pt idx="2">
                  <c:v>Forest, Conservation, and Logging Workers (45-4000)</c:v>
                </c:pt>
              </c:strCache>
            </c:strRef>
          </c:cat>
          <c:val>
            <c:numRef>
              <c:f>Sheet1!$E$2:$E$4</c:f>
              <c:numCache>
                <c:formatCode>#,##0</c:formatCode>
                <c:ptCount val="3"/>
                <c:pt idx="0">
                  <c:v>140</c:v>
                </c:pt>
                <c:pt idx="1">
                  <c:v>3133</c:v>
                </c:pt>
                <c:pt idx="2">
                  <c:v>344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99282256"/>
        <c:axId val="199501184"/>
      </c:barChart>
      <c:catAx>
        <c:axId val="19928225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199501184"/>
        <c:crossesAt val="0"/>
        <c:auto val="1"/>
        <c:lblAlgn val="ctr"/>
        <c:lblOffset val="100"/>
        <c:tickLblSkip val="1"/>
        <c:noMultiLvlLbl val="0"/>
      </c:catAx>
      <c:valAx>
        <c:axId val="199501184"/>
        <c:scaling>
          <c:orientation val="minMax"/>
          <c:max val="36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199282256"/>
        <c:crosses val="autoZero"/>
        <c:crossBetween val="between"/>
        <c:majorUnit val="6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605005624296963"/>
          <c:y val="0.79492346563640492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0.46176</cdr:x>
      <cdr:y>0.88159</cdr:y>
    </cdr:from>
    <cdr:to>
      <cdr:x>0.98268</cdr:x>
      <cdr:y>0.9679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48000" y="3400848"/>
          <a:ext cx="3438525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0.47768</cdr:x>
      <cdr:y>0.88058</cdr:y>
    </cdr:from>
    <cdr:to>
      <cdr:x>1</cdr:x>
      <cdr:y>0.96689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57525" y="3293513"/>
          <a:ext cx="3343275" cy="3228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24</cp:revision>
  <cp:lastPrinted>2017-07-17T20:28:00Z</cp:lastPrinted>
  <dcterms:created xsi:type="dcterms:W3CDTF">2016-08-09T16:00:00Z</dcterms:created>
  <dcterms:modified xsi:type="dcterms:W3CDTF">2019-08-16T15:50:00Z</dcterms:modified>
</cp:coreProperties>
</file>