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74254A" w:rsidRDefault="0074254A" w:rsidP="0074254A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2597785</wp:posOffset>
                </wp:positionH>
                <wp:positionV relativeFrom="margin">
                  <wp:posOffset>809625</wp:posOffset>
                </wp:positionV>
                <wp:extent cx="3794125" cy="171450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125" cy="1714500"/>
                          <a:chOff x="-5850" y="-74305"/>
                          <a:chExt cx="2152753" cy="2361196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80305"/>
                            <a:ext cx="2146903" cy="160658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74254A" w:rsidRDefault="002E0A24" w:rsidP="000429F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</w:t>
                              </w:r>
                              <w:r w:rsidR="005B3DAD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018</w:t>
                              </w:r>
                              <w:r w:rsidR="00D935FB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5B3DAD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E065E6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3369C7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E065E6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89</w:t>
                              </w:r>
                              <w:r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74254A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Teacher Assistants</w:t>
                              </w:r>
                              <w:r w:rsidR="002C6FF3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(25-</w:t>
                              </w:r>
                              <w:r w:rsidR="0074254A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9041</w:t>
                              </w:r>
                              <w:r w:rsidR="002C6FF3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0429F7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4254A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158</w:t>
                              </w:r>
                              <w:r w:rsidR="000429F7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</w:t>
                              </w:r>
                              <w:r w:rsidR="000429F7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74254A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Curators</w:t>
                              </w:r>
                              <w:r w:rsidR="002C6FF3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(25-401</w:t>
                              </w:r>
                              <w:r w:rsidR="0074254A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2C6FF3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BD32AE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429F7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– </w:t>
                              </w:r>
                              <w:r w:rsidR="0074254A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BD32AE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74254A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66</w:t>
                              </w:r>
                              <w:r w:rsidR="000429F7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0429F7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and Fastest Loser:   </w:t>
                              </w:r>
                              <w:r w:rsidR="0074254A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None</w:t>
                              </w:r>
                              <w:r w:rsidR="001C066A" w:rsidRPr="0074254A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7"/>
                            <a:ext cx="2146903" cy="5596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74254A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74254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Short-Term Outlook</w:t>
                              </w:r>
                              <w:r w:rsidR="0029218E" w:rsidRPr="0074254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 xml:space="preserve"> 20</w:t>
                              </w:r>
                              <w:r w:rsidR="00E065E6" w:rsidRPr="0074254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18</w:t>
                              </w:r>
                              <w:r w:rsidR="0029218E" w:rsidRPr="0074254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-20</w:t>
                              </w:r>
                              <w:r w:rsidR="00E065E6" w:rsidRPr="0074254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204.55pt;margin-top:63.75pt;width:298.75pt;height:135pt;z-index:-251658240;mso-wrap-distance-left:18pt;mso-wrap-distance-right:18pt;mso-position-horizontal-relative:margin;mso-position-vertical-relative:margin;mso-width-relative:margin;mso-height-relative:margin" coordorigin="-58,-743" coordsize="21527,2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803;width:21469;height:16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74254A" w:rsidRDefault="002E0A24" w:rsidP="000429F7">
                        <w:pP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</w:t>
                        </w:r>
                        <w:r w:rsidR="005B3DAD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018</w:t>
                        </w:r>
                        <w:r w:rsidR="00D935FB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5B3DAD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E065E6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 w:rsidR="003369C7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E065E6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89</w:t>
                        </w:r>
                        <w:r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74254A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Teacher Assistants</w:t>
                        </w:r>
                        <w:r w:rsidR="002C6FF3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(25-</w:t>
                        </w:r>
                        <w:r w:rsidR="0074254A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9041</w:t>
                        </w:r>
                        <w:r w:rsidR="002C6FF3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0429F7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4254A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158</w:t>
                        </w:r>
                        <w:r w:rsidR="000429F7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</w:t>
                        </w:r>
                        <w:r w:rsidR="000429F7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74254A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Curators</w:t>
                        </w:r>
                        <w:r w:rsidR="002C6FF3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(25-401</w:t>
                        </w:r>
                        <w:r w:rsidR="0074254A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 w:rsidR="002C6FF3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BD32AE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0429F7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– </w:t>
                        </w:r>
                        <w:r w:rsidR="0074254A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5</w:t>
                        </w:r>
                        <w:r w:rsidR="00BD32AE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74254A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66</w:t>
                        </w:r>
                        <w:r w:rsidR="000429F7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0429F7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and Fastest Loser:   </w:t>
                        </w:r>
                        <w:r w:rsidR="0074254A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None</w:t>
                        </w:r>
                        <w:r w:rsidR="001C066A" w:rsidRPr="0074254A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5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74254A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74254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Short-Term Outlook</w:t>
                        </w:r>
                        <w:r w:rsidR="0029218E" w:rsidRPr="0074254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 xml:space="preserve"> 20</w:t>
                        </w:r>
                        <w:r w:rsidR="00E065E6" w:rsidRPr="0074254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18</w:t>
                        </w:r>
                        <w:r w:rsidR="0029218E" w:rsidRPr="0074254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-20</w:t>
                        </w:r>
                        <w:r w:rsidR="00E065E6" w:rsidRPr="0074254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74254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0</wp:posOffset>
                </wp:positionV>
                <wp:extent cx="623887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54A" w:rsidRPr="0074254A" w:rsidRDefault="0074254A" w:rsidP="0074254A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4254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Education, Training, and Library Occupations (25-0000)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1.95pt;margin-top:0;width:491.2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" fillcolor="#823b0b [1605]">
                <v:textbox>
                  <w:txbxContent>
                    <w:p w:rsidR="0074254A" w:rsidRPr="0074254A" w:rsidRDefault="0074254A" w:rsidP="0074254A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4254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Education, Training, and Library Occupations (25-0000)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433A">
        <w:rPr>
          <w:rFonts w:ascii="Times New Roman" w:hAnsi="Times New Roman" w:cs="Times New Roman"/>
          <w:b/>
          <w:sz w:val="24"/>
          <w:szCs w:val="24"/>
        </w:rPr>
        <w:t>Education, Training, and Library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FA433A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E065E6">
        <w:rPr>
          <w:rFonts w:ascii="Times New Roman" w:hAnsi="Times New Roman" w:cs="Times New Roman"/>
          <w:sz w:val="24"/>
          <w:szCs w:val="24"/>
        </w:rPr>
        <w:t>535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E065E6">
        <w:rPr>
          <w:rFonts w:ascii="Times New Roman" w:hAnsi="Times New Roman" w:cs="Times New Roman"/>
          <w:sz w:val="24"/>
          <w:szCs w:val="24"/>
        </w:rPr>
        <w:t>1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E065E6">
        <w:rPr>
          <w:rFonts w:ascii="Times New Roman" w:hAnsi="Times New Roman" w:cs="Times New Roman"/>
          <w:sz w:val="24"/>
          <w:szCs w:val="24"/>
        </w:rPr>
        <w:t>89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FA433A">
        <w:rPr>
          <w:rFonts w:ascii="Times New Roman" w:hAnsi="Times New Roman" w:cs="Times New Roman"/>
          <w:sz w:val="24"/>
          <w:szCs w:val="24"/>
        </w:rPr>
        <w:t>7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E065E6">
        <w:rPr>
          <w:rFonts w:ascii="Times New Roman" w:hAnsi="Times New Roman" w:cs="Times New Roman"/>
          <w:sz w:val="24"/>
          <w:szCs w:val="24"/>
        </w:rPr>
        <w:t>454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FA433A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E065E6">
        <w:rPr>
          <w:rFonts w:ascii="Times New Roman" w:hAnsi="Times New Roman" w:cs="Times New Roman"/>
          <w:sz w:val="24"/>
          <w:szCs w:val="24"/>
        </w:rPr>
        <w:t>354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FA433A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E065E6">
        <w:rPr>
          <w:rFonts w:ascii="Times New Roman" w:hAnsi="Times New Roman" w:cs="Times New Roman"/>
          <w:sz w:val="24"/>
          <w:szCs w:val="24"/>
        </w:rPr>
        <w:t>332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E065E6">
        <w:rPr>
          <w:rFonts w:ascii="Times New Roman" w:hAnsi="Times New Roman" w:cs="Times New Roman"/>
          <w:sz w:val="24"/>
          <w:szCs w:val="24"/>
        </w:rPr>
        <w:t>768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FA433A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FA433A">
        <w:rPr>
          <w:rFonts w:ascii="Times New Roman" w:hAnsi="Times New Roman" w:cs="Times New Roman"/>
          <w:b/>
          <w:i/>
          <w:sz w:val="24"/>
          <w:szCs w:val="24"/>
        </w:rPr>
        <w:t>Postsecondary Teachers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E065E6">
        <w:rPr>
          <w:rFonts w:ascii="Times New Roman" w:hAnsi="Times New Roman" w:cs="Times New Roman"/>
          <w:sz w:val="24"/>
          <w:szCs w:val="24"/>
        </w:rPr>
        <w:t>503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E065E6">
        <w:rPr>
          <w:rFonts w:ascii="Times New Roman" w:hAnsi="Times New Roman" w:cs="Times New Roman"/>
          <w:sz w:val="24"/>
          <w:szCs w:val="24"/>
        </w:rPr>
        <w:t>3.0</w:t>
      </w:r>
      <w:r w:rsidR="00D9458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E065E6">
        <w:rPr>
          <w:rFonts w:ascii="Times New Roman" w:hAnsi="Times New Roman" w:cs="Times New Roman"/>
          <w:sz w:val="24"/>
          <w:szCs w:val="24"/>
        </w:rPr>
        <w:t xml:space="preserve">Graduate Teaching Assistants is slated to be the top growing occupation adding 112 new jobs. </w:t>
      </w:r>
      <w:r w:rsidR="00E065E6" w:rsidRPr="00E065E6">
        <w:rPr>
          <w:rFonts w:ascii="Times New Roman" w:hAnsi="Times New Roman" w:cs="Times New Roman"/>
          <w:sz w:val="24"/>
          <w:szCs w:val="24"/>
        </w:rPr>
        <w:t>Philosophy and Religion Teachers, Postsecondary</w:t>
      </w:r>
      <w:r w:rsidR="00E065E6">
        <w:rPr>
          <w:rFonts w:ascii="Times New Roman" w:hAnsi="Times New Roman" w:cs="Times New Roman"/>
          <w:sz w:val="24"/>
          <w:szCs w:val="24"/>
        </w:rPr>
        <w:t xml:space="preserve"> </w:t>
      </w:r>
      <w:r w:rsidR="00FA433A">
        <w:rPr>
          <w:rFonts w:ascii="Times New Roman" w:hAnsi="Times New Roman" w:cs="Times New Roman"/>
          <w:sz w:val="24"/>
          <w:szCs w:val="24"/>
        </w:rPr>
        <w:t xml:space="preserve">is slated to be the fastest growing occupation in this family with a gain of </w:t>
      </w:r>
      <w:r w:rsidR="00E065E6">
        <w:rPr>
          <w:rFonts w:ascii="Times New Roman" w:hAnsi="Times New Roman" w:cs="Times New Roman"/>
          <w:sz w:val="24"/>
          <w:szCs w:val="24"/>
        </w:rPr>
        <w:t>4.85</w:t>
      </w:r>
      <w:r w:rsidR="00FA433A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FA433A">
        <w:rPr>
          <w:rFonts w:ascii="Times New Roman" w:hAnsi="Times New Roman" w:cs="Times New Roman"/>
          <w:sz w:val="24"/>
          <w:szCs w:val="24"/>
        </w:rPr>
        <w:t>1</w:t>
      </w:r>
      <w:r w:rsidR="00035EEF">
        <w:rPr>
          <w:rFonts w:ascii="Times New Roman" w:hAnsi="Times New Roman" w:cs="Times New Roman"/>
          <w:sz w:val="24"/>
          <w:szCs w:val="24"/>
        </w:rPr>
        <w:t>,</w:t>
      </w:r>
      <w:r w:rsidR="00E065E6">
        <w:rPr>
          <w:rFonts w:ascii="Times New Roman" w:hAnsi="Times New Roman" w:cs="Times New Roman"/>
          <w:sz w:val="24"/>
          <w:szCs w:val="24"/>
        </w:rPr>
        <w:t>502 annual job openings.</w:t>
      </w:r>
    </w:p>
    <w:p w:rsidR="00EF6C8A" w:rsidRDefault="00035EEF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FA433A" w:rsidRPr="00FA433A">
        <w:rPr>
          <w:rFonts w:ascii="Times New Roman" w:hAnsi="Times New Roman" w:cs="Times New Roman"/>
          <w:b/>
          <w:i/>
          <w:sz w:val="24"/>
          <w:szCs w:val="24"/>
        </w:rPr>
        <w:t>Preschool, Primary, Secondary, and Special Education School Teachers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E4315B">
        <w:rPr>
          <w:rFonts w:ascii="Times New Roman" w:hAnsi="Times New Roman" w:cs="Times New Roman"/>
          <w:sz w:val="24"/>
          <w:szCs w:val="24"/>
        </w:rPr>
        <w:t>426</w:t>
      </w:r>
      <w:r w:rsidRPr="00035EEF">
        <w:rPr>
          <w:rFonts w:ascii="Times New Roman" w:hAnsi="Times New Roman" w:cs="Times New Roman"/>
          <w:sz w:val="24"/>
          <w:szCs w:val="24"/>
        </w:rPr>
        <w:t>, an</w:t>
      </w:r>
      <w:r>
        <w:rPr>
          <w:rFonts w:ascii="Times New Roman" w:hAnsi="Times New Roman" w:cs="Times New Roman"/>
          <w:sz w:val="24"/>
          <w:szCs w:val="24"/>
        </w:rPr>
        <w:t xml:space="preserve"> increase of </w:t>
      </w:r>
      <w:r w:rsidR="00E431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433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percent.  </w:t>
      </w:r>
      <w:r w:rsidR="00E4315B">
        <w:rPr>
          <w:rFonts w:ascii="Times New Roman" w:hAnsi="Times New Roman" w:cs="Times New Roman"/>
          <w:sz w:val="24"/>
          <w:szCs w:val="24"/>
        </w:rPr>
        <w:t>Two</w:t>
      </w:r>
      <w:r w:rsidR="00FA433A">
        <w:rPr>
          <w:rFonts w:ascii="Times New Roman" w:hAnsi="Times New Roman" w:cs="Times New Roman"/>
          <w:sz w:val="24"/>
          <w:szCs w:val="24"/>
        </w:rPr>
        <w:t xml:space="preserve"> occupations are anticipating more than 1</w:t>
      </w:r>
      <w:r w:rsidR="00E4315B">
        <w:rPr>
          <w:rFonts w:ascii="Times New Roman" w:hAnsi="Times New Roman" w:cs="Times New Roman"/>
          <w:sz w:val="24"/>
          <w:szCs w:val="24"/>
        </w:rPr>
        <w:t>1</w:t>
      </w:r>
      <w:r w:rsidR="00FA433A">
        <w:rPr>
          <w:rFonts w:ascii="Times New Roman" w:hAnsi="Times New Roman" w:cs="Times New Roman"/>
          <w:sz w:val="24"/>
          <w:szCs w:val="24"/>
        </w:rPr>
        <w:t xml:space="preserve">0 new jobs with </w:t>
      </w:r>
      <w:r w:rsidR="00FA433A" w:rsidRPr="00FA433A">
        <w:rPr>
          <w:rFonts w:ascii="Times New Roman" w:hAnsi="Times New Roman" w:cs="Times New Roman"/>
          <w:sz w:val="24"/>
          <w:szCs w:val="24"/>
        </w:rPr>
        <w:t xml:space="preserve">Elementary School Teachers, Except Special Education </w:t>
      </w:r>
      <w:r w:rsidR="00FA433A">
        <w:rPr>
          <w:rFonts w:ascii="Times New Roman" w:hAnsi="Times New Roman" w:cs="Times New Roman"/>
          <w:sz w:val="24"/>
          <w:szCs w:val="24"/>
        </w:rPr>
        <w:t>leading the occupational fa</w:t>
      </w:r>
      <w:r w:rsidR="00DD4CDA">
        <w:rPr>
          <w:rFonts w:ascii="Times New Roman" w:hAnsi="Times New Roman" w:cs="Times New Roman"/>
          <w:sz w:val="24"/>
          <w:szCs w:val="24"/>
        </w:rPr>
        <w:t>mily</w:t>
      </w:r>
      <w:r w:rsidR="00FA433A">
        <w:rPr>
          <w:rFonts w:ascii="Times New Roman" w:hAnsi="Times New Roman" w:cs="Times New Roman"/>
          <w:sz w:val="24"/>
          <w:szCs w:val="24"/>
        </w:rPr>
        <w:t xml:space="preserve"> with </w:t>
      </w:r>
      <w:r w:rsidR="00E4315B">
        <w:rPr>
          <w:rFonts w:ascii="Times New Roman" w:hAnsi="Times New Roman" w:cs="Times New Roman"/>
          <w:sz w:val="24"/>
          <w:szCs w:val="24"/>
        </w:rPr>
        <w:t>120</w:t>
      </w:r>
      <w:r w:rsidR="00FA433A">
        <w:rPr>
          <w:rFonts w:ascii="Times New Roman" w:hAnsi="Times New Roman" w:cs="Times New Roman"/>
          <w:sz w:val="24"/>
          <w:szCs w:val="24"/>
        </w:rPr>
        <w:t xml:space="preserve"> new jobs</w:t>
      </w:r>
      <w:r w:rsidR="00DD4CDA">
        <w:rPr>
          <w:rFonts w:ascii="Times New Roman" w:hAnsi="Times New Roman" w:cs="Times New Roman"/>
          <w:sz w:val="24"/>
          <w:szCs w:val="24"/>
        </w:rPr>
        <w:t xml:space="preserve">.  </w:t>
      </w:r>
      <w:r w:rsidR="00E4315B" w:rsidRPr="00E4315B">
        <w:rPr>
          <w:rFonts w:ascii="Times New Roman" w:hAnsi="Times New Roman" w:cs="Times New Roman"/>
          <w:sz w:val="24"/>
          <w:szCs w:val="24"/>
        </w:rPr>
        <w:t>Special Education Teachers, Preschool</w:t>
      </w:r>
      <w:r w:rsidR="00E4315B">
        <w:rPr>
          <w:rFonts w:ascii="Times New Roman" w:hAnsi="Times New Roman" w:cs="Times New Roman"/>
          <w:sz w:val="24"/>
          <w:szCs w:val="24"/>
        </w:rPr>
        <w:t xml:space="preserve"> </w:t>
      </w:r>
      <w:r w:rsidR="00DD4CDA">
        <w:rPr>
          <w:rFonts w:ascii="Times New Roman" w:hAnsi="Times New Roman" w:cs="Times New Roman"/>
          <w:sz w:val="24"/>
          <w:szCs w:val="24"/>
        </w:rPr>
        <w:t xml:space="preserve">is slated to be the fastest in this group with a </w:t>
      </w:r>
      <w:r w:rsidR="00E4315B">
        <w:rPr>
          <w:rFonts w:ascii="Times New Roman" w:hAnsi="Times New Roman" w:cs="Times New Roman"/>
          <w:sz w:val="24"/>
          <w:szCs w:val="24"/>
        </w:rPr>
        <w:t>2</w:t>
      </w:r>
      <w:r w:rsidR="00DD4CDA">
        <w:rPr>
          <w:rFonts w:ascii="Times New Roman" w:hAnsi="Times New Roman" w:cs="Times New Roman"/>
          <w:sz w:val="24"/>
          <w:szCs w:val="24"/>
        </w:rPr>
        <w:t>.4</w:t>
      </w:r>
      <w:r w:rsidR="00E4315B">
        <w:rPr>
          <w:rFonts w:ascii="Times New Roman" w:hAnsi="Times New Roman" w:cs="Times New Roman"/>
          <w:sz w:val="24"/>
          <w:szCs w:val="24"/>
        </w:rPr>
        <w:t>5</w:t>
      </w:r>
      <w:r w:rsidR="00DD4CDA">
        <w:rPr>
          <w:rFonts w:ascii="Times New Roman" w:hAnsi="Times New Roman" w:cs="Times New Roman"/>
          <w:sz w:val="24"/>
          <w:szCs w:val="24"/>
        </w:rPr>
        <w:t xml:space="preserve"> percent gain.</w:t>
      </w:r>
      <w:r w:rsidR="004D0738">
        <w:rPr>
          <w:rFonts w:ascii="Times New Roman" w:hAnsi="Times New Roman" w:cs="Times New Roman"/>
          <w:sz w:val="24"/>
          <w:szCs w:val="24"/>
        </w:rPr>
        <w:t xml:space="preserve">  Around </w:t>
      </w:r>
      <w:r w:rsidR="00DD4CDA">
        <w:rPr>
          <w:rFonts w:ascii="Times New Roman" w:hAnsi="Times New Roman" w:cs="Times New Roman"/>
          <w:sz w:val="24"/>
          <w:szCs w:val="24"/>
        </w:rPr>
        <w:t>3,</w:t>
      </w:r>
      <w:r w:rsidR="00E4315B">
        <w:rPr>
          <w:rFonts w:ascii="Times New Roman" w:hAnsi="Times New Roman" w:cs="Times New Roman"/>
          <w:sz w:val="24"/>
          <w:szCs w:val="24"/>
        </w:rPr>
        <w:t>180</w:t>
      </w:r>
      <w:r w:rsidR="004D0738">
        <w:rPr>
          <w:rFonts w:ascii="Times New Roman" w:hAnsi="Times New Roman" w:cs="Times New Roman"/>
          <w:sz w:val="24"/>
          <w:szCs w:val="24"/>
        </w:rPr>
        <w:t xml:space="preserve"> annual job openings are anticipated annually</w:t>
      </w:r>
      <w:r w:rsidR="005B3DAD">
        <w:rPr>
          <w:rFonts w:ascii="Times New Roman" w:hAnsi="Times New Roman" w:cs="Times New Roman"/>
          <w:sz w:val="24"/>
          <w:szCs w:val="24"/>
        </w:rPr>
        <w:t xml:space="preserve"> in the occupational family</w:t>
      </w:r>
      <w:r w:rsidR="004D0738">
        <w:rPr>
          <w:rFonts w:ascii="Times New Roman" w:hAnsi="Times New Roman" w:cs="Times New Roman"/>
          <w:sz w:val="24"/>
          <w:szCs w:val="24"/>
        </w:rPr>
        <w:t>.</w:t>
      </w:r>
    </w:p>
    <w:p w:rsidR="000D6138" w:rsidRDefault="004D0738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DD4CDA" w:rsidRPr="00DD4CDA">
        <w:rPr>
          <w:rFonts w:ascii="Times New Roman" w:hAnsi="Times New Roman" w:cs="Times New Roman"/>
          <w:b/>
          <w:i/>
          <w:sz w:val="24"/>
          <w:szCs w:val="24"/>
        </w:rPr>
        <w:t>Other Teachers and Instructors</w:t>
      </w:r>
      <w:r w:rsidR="00DD4C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138">
        <w:rPr>
          <w:rFonts w:ascii="Times New Roman" w:hAnsi="Times New Roman" w:cs="Times New Roman"/>
          <w:sz w:val="24"/>
          <w:szCs w:val="24"/>
        </w:rPr>
        <w:t xml:space="preserve">occupational family is estimated to increase employment by </w:t>
      </w:r>
      <w:r w:rsidR="00E4315B">
        <w:rPr>
          <w:rFonts w:ascii="Times New Roman" w:hAnsi="Times New Roman" w:cs="Times New Roman"/>
          <w:sz w:val="24"/>
          <w:szCs w:val="24"/>
        </w:rPr>
        <w:t>358</w:t>
      </w:r>
      <w:r w:rsidRPr="000D6138">
        <w:rPr>
          <w:rFonts w:ascii="Times New Roman" w:hAnsi="Times New Roman" w:cs="Times New Roman"/>
          <w:sz w:val="24"/>
          <w:szCs w:val="24"/>
        </w:rPr>
        <w:t xml:space="preserve">, or a gain of </w:t>
      </w:r>
      <w:r w:rsidR="00E4315B">
        <w:rPr>
          <w:rFonts w:ascii="Times New Roman" w:hAnsi="Times New Roman" w:cs="Times New Roman"/>
          <w:sz w:val="24"/>
          <w:szCs w:val="24"/>
        </w:rPr>
        <w:t>4</w:t>
      </w:r>
      <w:r w:rsidR="00DD4CDA">
        <w:rPr>
          <w:rFonts w:ascii="Times New Roman" w:hAnsi="Times New Roman" w:cs="Times New Roman"/>
          <w:sz w:val="24"/>
          <w:szCs w:val="24"/>
        </w:rPr>
        <w:t>.</w:t>
      </w:r>
      <w:r w:rsidR="00E4315B">
        <w:rPr>
          <w:rFonts w:ascii="Times New Roman" w:hAnsi="Times New Roman" w:cs="Times New Roman"/>
          <w:sz w:val="24"/>
          <w:szCs w:val="24"/>
        </w:rPr>
        <w:t>55</w:t>
      </w:r>
      <w:r w:rsidRPr="000D6138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E4315B" w:rsidRPr="00E4315B">
        <w:rPr>
          <w:rFonts w:ascii="Times New Roman" w:hAnsi="Times New Roman" w:cs="Times New Roman"/>
          <w:sz w:val="24"/>
          <w:szCs w:val="24"/>
        </w:rPr>
        <w:t>Self-Enrichment Education Teachers</w:t>
      </w:r>
      <w:r w:rsidR="00DD4CDA" w:rsidRPr="00DD4CDA">
        <w:rPr>
          <w:rFonts w:ascii="Times New Roman" w:hAnsi="Times New Roman" w:cs="Times New Roman"/>
          <w:sz w:val="24"/>
          <w:szCs w:val="24"/>
        </w:rPr>
        <w:t xml:space="preserve"> </w:t>
      </w:r>
      <w:r w:rsidR="00DD4CDA">
        <w:rPr>
          <w:rFonts w:ascii="Times New Roman" w:hAnsi="Times New Roman" w:cs="Times New Roman"/>
          <w:sz w:val="24"/>
          <w:szCs w:val="24"/>
        </w:rPr>
        <w:t xml:space="preserve">is forecast to have </w:t>
      </w:r>
      <w:r w:rsidR="00E4315B">
        <w:rPr>
          <w:rFonts w:ascii="Times New Roman" w:hAnsi="Times New Roman" w:cs="Times New Roman"/>
          <w:sz w:val="24"/>
          <w:szCs w:val="24"/>
        </w:rPr>
        <w:t>36</w:t>
      </w:r>
      <w:r w:rsidR="00DD4CDA">
        <w:rPr>
          <w:rFonts w:ascii="Times New Roman" w:hAnsi="Times New Roman" w:cs="Times New Roman"/>
          <w:sz w:val="24"/>
          <w:szCs w:val="24"/>
        </w:rPr>
        <w:t xml:space="preserve"> new jobs added to the workforce.  As a whole, </w:t>
      </w:r>
      <w:r w:rsidR="00DD4CDA" w:rsidRPr="00DD4CDA">
        <w:rPr>
          <w:rFonts w:ascii="Times New Roman" w:hAnsi="Times New Roman" w:cs="Times New Roman"/>
          <w:sz w:val="24"/>
          <w:szCs w:val="24"/>
        </w:rPr>
        <w:t xml:space="preserve">the occupational family is expected to experience </w:t>
      </w:r>
      <w:r w:rsidR="00E4315B">
        <w:rPr>
          <w:rFonts w:ascii="Times New Roman" w:hAnsi="Times New Roman" w:cs="Times New Roman"/>
          <w:sz w:val="24"/>
          <w:szCs w:val="24"/>
        </w:rPr>
        <w:t>1,045</w:t>
      </w:r>
      <w:r w:rsidR="00DD4CDA" w:rsidRPr="00DD4CDA">
        <w:rPr>
          <w:rFonts w:ascii="Times New Roman" w:hAnsi="Times New Roman" w:cs="Times New Roman"/>
          <w:sz w:val="24"/>
          <w:szCs w:val="24"/>
        </w:rPr>
        <w:t xml:space="preserve"> annual job openings</w:t>
      </w:r>
      <w:r w:rsidRPr="004D0738">
        <w:rPr>
          <w:rFonts w:ascii="Times New Roman" w:hAnsi="Times New Roman" w:cs="Times New Roman"/>
          <w:sz w:val="24"/>
          <w:szCs w:val="24"/>
        </w:rPr>
        <w:t>.</w:t>
      </w:r>
    </w:p>
    <w:p w:rsidR="000D6138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DD4CDA" w:rsidRPr="00DD4CDA">
        <w:rPr>
          <w:rFonts w:ascii="Times New Roman" w:hAnsi="Times New Roman" w:cs="Times New Roman"/>
          <w:b/>
          <w:i/>
          <w:sz w:val="24"/>
          <w:szCs w:val="24"/>
        </w:rPr>
        <w:t>Librarians, Curators, and Archivists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occupational family is expected to </w:t>
      </w:r>
      <w:r w:rsidR="00DD4CDA">
        <w:rPr>
          <w:rFonts w:ascii="Times New Roman" w:hAnsi="Times New Roman" w:cs="Times New Roman"/>
          <w:sz w:val="24"/>
          <w:szCs w:val="24"/>
        </w:rPr>
        <w:t xml:space="preserve">add </w:t>
      </w:r>
      <w:r w:rsidR="00E4315B">
        <w:rPr>
          <w:rFonts w:ascii="Times New Roman" w:hAnsi="Times New Roman" w:cs="Times New Roman"/>
          <w:sz w:val="24"/>
          <w:szCs w:val="24"/>
        </w:rPr>
        <w:t>40</w:t>
      </w:r>
      <w:r w:rsidR="00DD4CDA">
        <w:rPr>
          <w:rFonts w:ascii="Times New Roman" w:hAnsi="Times New Roman" w:cs="Times New Roman"/>
          <w:sz w:val="24"/>
          <w:szCs w:val="24"/>
        </w:rPr>
        <w:t xml:space="preserve"> jobs to its ranks between 20</w:t>
      </w:r>
      <w:r w:rsidR="00E4315B">
        <w:rPr>
          <w:rFonts w:ascii="Times New Roman" w:hAnsi="Times New Roman" w:cs="Times New Roman"/>
          <w:sz w:val="24"/>
          <w:szCs w:val="24"/>
        </w:rPr>
        <w:t>18</w:t>
      </w:r>
      <w:r w:rsidR="00DD4CDA">
        <w:rPr>
          <w:rFonts w:ascii="Times New Roman" w:hAnsi="Times New Roman" w:cs="Times New Roman"/>
          <w:sz w:val="24"/>
          <w:szCs w:val="24"/>
        </w:rPr>
        <w:t xml:space="preserve"> and 20</w:t>
      </w:r>
      <w:r w:rsidR="00E4315B">
        <w:rPr>
          <w:rFonts w:ascii="Times New Roman" w:hAnsi="Times New Roman" w:cs="Times New Roman"/>
          <w:sz w:val="24"/>
          <w:szCs w:val="24"/>
        </w:rPr>
        <w:t>20</w:t>
      </w:r>
      <w:r w:rsidR="00DD4CDA">
        <w:rPr>
          <w:rFonts w:ascii="Times New Roman" w:hAnsi="Times New Roman" w:cs="Times New Roman"/>
          <w:sz w:val="24"/>
          <w:szCs w:val="24"/>
        </w:rPr>
        <w:t xml:space="preserve">.  Librarians should take the majority of that growth increasing employment by </w:t>
      </w:r>
      <w:r w:rsidR="00E4315B">
        <w:rPr>
          <w:rFonts w:ascii="Times New Roman" w:hAnsi="Times New Roman" w:cs="Times New Roman"/>
          <w:sz w:val="24"/>
          <w:szCs w:val="24"/>
        </w:rPr>
        <w:t>23</w:t>
      </w:r>
      <w:r w:rsidR="00DD4CDA">
        <w:rPr>
          <w:rFonts w:ascii="Times New Roman" w:hAnsi="Times New Roman" w:cs="Times New Roman"/>
          <w:sz w:val="24"/>
          <w:szCs w:val="24"/>
        </w:rPr>
        <w:t>.  The occupational family is estimated to have 2</w:t>
      </w:r>
      <w:r w:rsidR="00E4315B">
        <w:rPr>
          <w:rFonts w:ascii="Times New Roman" w:hAnsi="Times New Roman" w:cs="Times New Roman"/>
          <w:sz w:val="24"/>
          <w:szCs w:val="24"/>
        </w:rPr>
        <w:t>2</w:t>
      </w:r>
      <w:r w:rsidR="00DD4CDA">
        <w:rPr>
          <w:rFonts w:ascii="Times New Roman" w:hAnsi="Times New Roman" w:cs="Times New Roman"/>
          <w:sz w:val="24"/>
          <w:szCs w:val="24"/>
        </w:rPr>
        <w:t>1 job openings annually.</w:t>
      </w:r>
    </w:p>
    <w:p w:rsidR="00DD4CDA" w:rsidRPr="00DD4CDA" w:rsidRDefault="00DD4CDA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final occupational family, </w:t>
      </w:r>
      <w:r w:rsidRPr="00DD4CDA">
        <w:rPr>
          <w:rFonts w:ascii="Times New Roman" w:hAnsi="Times New Roman" w:cs="Times New Roman"/>
          <w:b/>
          <w:i/>
          <w:sz w:val="24"/>
          <w:szCs w:val="24"/>
        </w:rPr>
        <w:t>Other Education, Training, and Library Occupations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4CDA">
        <w:rPr>
          <w:rFonts w:ascii="Times New Roman" w:hAnsi="Times New Roman" w:cs="Times New Roman"/>
          <w:sz w:val="24"/>
          <w:szCs w:val="24"/>
        </w:rPr>
        <w:t xml:space="preserve">is forecast to add </w:t>
      </w:r>
      <w:r w:rsidR="00E4315B">
        <w:rPr>
          <w:rFonts w:ascii="Times New Roman" w:hAnsi="Times New Roman" w:cs="Times New Roman"/>
          <w:sz w:val="24"/>
          <w:szCs w:val="24"/>
        </w:rPr>
        <w:t>208</w:t>
      </w:r>
      <w:r w:rsidRPr="00DD4CDA">
        <w:rPr>
          <w:rFonts w:ascii="Times New Roman" w:hAnsi="Times New Roman" w:cs="Times New Roman"/>
          <w:sz w:val="24"/>
          <w:szCs w:val="24"/>
        </w:rPr>
        <w:t xml:space="preserve"> new jobs</w:t>
      </w:r>
      <w:r>
        <w:rPr>
          <w:rFonts w:ascii="Times New Roman" w:hAnsi="Times New Roman" w:cs="Times New Roman"/>
          <w:sz w:val="24"/>
          <w:szCs w:val="24"/>
        </w:rPr>
        <w:t xml:space="preserve"> to its workforce, a </w:t>
      </w:r>
      <w:r w:rsidR="00E431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315B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percent gain.  </w:t>
      </w:r>
      <w:r w:rsidRPr="00DD4CDA">
        <w:rPr>
          <w:rFonts w:ascii="Times New Roman" w:hAnsi="Times New Roman" w:cs="Times New Roman"/>
          <w:sz w:val="24"/>
          <w:szCs w:val="24"/>
        </w:rPr>
        <w:t>Teacher Assistants</w:t>
      </w:r>
      <w:r>
        <w:rPr>
          <w:rFonts w:ascii="Times New Roman" w:hAnsi="Times New Roman" w:cs="Times New Roman"/>
          <w:sz w:val="24"/>
          <w:szCs w:val="24"/>
        </w:rPr>
        <w:t xml:space="preserve"> is anticipated to lead the </w:t>
      </w:r>
      <w:r w:rsidR="0074254A" w:rsidRPr="0074254A">
        <w:rPr>
          <w:rFonts w:ascii="Times New Roman" w:hAnsi="Times New Roman" w:cs="Times New Roman"/>
          <w:b/>
          <w:sz w:val="24"/>
          <w:szCs w:val="24"/>
        </w:rPr>
        <w:t>Education, Training, and Library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DAD" w:rsidRPr="005B3DAD">
        <w:rPr>
          <w:rFonts w:ascii="Times New Roman" w:hAnsi="Times New Roman" w:cs="Times New Roman"/>
          <w:b/>
          <w:sz w:val="24"/>
          <w:szCs w:val="24"/>
        </w:rPr>
        <w:t>Occupations</w:t>
      </w:r>
      <w:r w:rsidR="005B3DAD">
        <w:rPr>
          <w:rFonts w:ascii="Times New Roman" w:hAnsi="Times New Roman" w:cs="Times New Roman"/>
          <w:sz w:val="24"/>
          <w:szCs w:val="24"/>
        </w:rPr>
        <w:t xml:space="preserve"> </w:t>
      </w:r>
      <w:r w:rsidR="0074254A">
        <w:rPr>
          <w:rFonts w:ascii="Times New Roman" w:hAnsi="Times New Roman" w:cs="Times New Roman"/>
          <w:sz w:val="24"/>
          <w:szCs w:val="24"/>
        </w:rPr>
        <w:t xml:space="preserve">major group </w:t>
      </w:r>
      <w:r w:rsidR="005B3DAD">
        <w:rPr>
          <w:rFonts w:ascii="Times New Roman" w:hAnsi="Times New Roman" w:cs="Times New Roman"/>
          <w:sz w:val="24"/>
          <w:szCs w:val="24"/>
        </w:rPr>
        <w:t xml:space="preserve">in both numeric change and in the number of annual openings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E4315B">
        <w:rPr>
          <w:rFonts w:ascii="Times New Roman" w:hAnsi="Times New Roman" w:cs="Times New Roman"/>
          <w:sz w:val="24"/>
          <w:szCs w:val="24"/>
        </w:rPr>
        <w:t>158</w:t>
      </w:r>
      <w:r w:rsidR="00E62FE5">
        <w:rPr>
          <w:rFonts w:ascii="Times New Roman" w:hAnsi="Times New Roman" w:cs="Times New Roman"/>
          <w:sz w:val="24"/>
          <w:szCs w:val="24"/>
        </w:rPr>
        <w:t xml:space="preserve"> new jobs and 1,2</w:t>
      </w:r>
      <w:r w:rsidR="00E4315B">
        <w:rPr>
          <w:rFonts w:ascii="Times New Roman" w:hAnsi="Times New Roman" w:cs="Times New Roman"/>
          <w:sz w:val="24"/>
          <w:szCs w:val="24"/>
        </w:rPr>
        <w:t>60</w:t>
      </w:r>
      <w:r w:rsidR="00E62FE5">
        <w:rPr>
          <w:rFonts w:ascii="Times New Roman" w:hAnsi="Times New Roman" w:cs="Times New Roman"/>
          <w:sz w:val="24"/>
          <w:szCs w:val="24"/>
        </w:rPr>
        <w:t xml:space="preserve"> annual openings.  Overall, the occupational family is estimated to have 1,</w:t>
      </w:r>
      <w:r w:rsidR="00E4315B">
        <w:rPr>
          <w:rFonts w:ascii="Times New Roman" w:hAnsi="Times New Roman" w:cs="Times New Roman"/>
          <w:sz w:val="24"/>
          <w:szCs w:val="24"/>
        </w:rPr>
        <w:t>506</w:t>
      </w:r>
      <w:r w:rsidR="00E62FE5"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C8302D" w:rsidRPr="00EF7503" w:rsidRDefault="00003B16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Default="00CD7519" w:rsidP="00BB1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17">
        <w:rPr>
          <w:rFonts w:ascii="Times New Roman" w:hAnsi="Times New Roman" w:cs="Times New Roman"/>
          <w:b/>
          <w:sz w:val="24"/>
          <w:szCs w:val="24"/>
        </w:rPr>
        <w:lastRenderedPageBreak/>
        <w:t>Workforce Development Area Outlook</w:t>
      </w:r>
      <w:r w:rsidR="00F76A6E" w:rsidRPr="00BB1F17">
        <w:rPr>
          <w:rFonts w:ascii="Times New Roman" w:hAnsi="Times New Roman" w:cs="Times New Roman"/>
          <w:b/>
          <w:sz w:val="24"/>
          <w:szCs w:val="24"/>
        </w:rPr>
        <w:br/>
      </w:r>
      <w:r w:rsidR="00D81BC5" w:rsidRPr="00BB1F17">
        <w:rPr>
          <w:rFonts w:ascii="Times New Roman" w:hAnsi="Times New Roman" w:cs="Times New Roman"/>
          <w:b/>
          <w:sz w:val="24"/>
          <w:szCs w:val="24"/>
        </w:rPr>
        <w:t>Education, Training, and Library Occupations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8C0987" w:rsidRPr="008C0987" w:rsidRDefault="008C0987" w:rsidP="00162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Workforce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Development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C0987" w:rsidRPr="008C0987" w:rsidRDefault="008C0987" w:rsidP="008C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18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Estimated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C0987" w:rsidRPr="008C0987" w:rsidRDefault="008C0987" w:rsidP="008C0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20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Projected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8C0987" w:rsidRPr="008C0987" w:rsidRDefault="008C0987" w:rsidP="00162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Numeric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8C0987" w:rsidRPr="008C0987" w:rsidRDefault="008C0987" w:rsidP="00162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Percent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8C0987" w:rsidRPr="008C0987" w:rsidRDefault="008C0987" w:rsidP="00162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8C0987" w:rsidRPr="008C0987" w:rsidRDefault="008C0987" w:rsidP="00162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8C0987" w:rsidRPr="008C0987" w:rsidRDefault="008C0987" w:rsidP="00162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8C0987" w:rsidRPr="008C0987" w:rsidRDefault="008C0987" w:rsidP="00162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Openings-</w:t>
            </w:r>
            <w:r w:rsidRPr="008C098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Total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878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-1.37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733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535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985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069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-109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-3.55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</w:t>
            </w:r>
          </w:p>
        </w:tc>
      </w:tr>
      <w:tr w:rsidR="008C0987" w:rsidRPr="008C0987" w:rsidTr="008C0987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</w:tcPr>
          <w:p w:rsidR="008C0987" w:rsidRPr="00AF1D3D" w:rsidRDefault="008C0987" w:rsidP="008C098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1D3D">
              <w:rPr>
                <w:rFonts w:ascii="Arial" w:eastAsia="Times New Roman" w:hAnsi="Arial" w:cs="Arial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-101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-1.97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8C0987" w:rsidRPr="008C0987" w:rsidRDefault="008C0987" w:rsidP="008C0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098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</w:t>
            </w:r>
          </w:p>
        </w:tc>
      </w:tr>
    </w:tbl>
    <w:p w:rsidR="008C0987" w:rsidRPr="00BB1F17" w:rsidRDefault="008C0987" w:rsidP="00BB1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3D" w:rsidRPr="00D935FB" w:rsidRDefault="00AF1D3D" w:rsidP="00CD7519">
      <w:pPr>
        <w:rPr>
          <w:rFonts w:ascii="Times New Roman" w:hAnsi="Times New Roman" w:cs="Times New Roman"/>
          <w:sz w:val="24"/>
          <w:szCs w:val="24"/>
        </w:rPr>
      </w:pPr>
    </w:p>
    <w:sectPr w:rsidR="00AF1D3D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66B43"/>
    <w:rsid w:val="00070BD4"/>
    <w:rsid w:val="000960E8"/>
    <w:rsid w:val="000D6138"/>
    <w:rsid w:val="00154FDA"/>
    <w:rsid w:val="001C066A"/>
    <w:rsid w:val="0029218E"/>
    <w:rsid w:val="002C6FF3"/>
    <w:rsid w:val="002E0A24"/>
    <w:rsid w:val="003369C7"/>
    <w:rsid w:val="003A4556"/>
    <w:rsid w:val="003A6F63"/>
    <w:rsid w:val="00440DB3"/>
    <w:rsid w:val="00457BC4"/>
    <w:rsid w:val="00490AD7"/>
    <w:rsid w:val="004D0738"/>
    <w:rsid w:val="00504AAD"/>
    <w:rsid w:val="00580031"/>
    <w:rsid w:val="00594503"/>
    <w:rsid w:val="005B3DAD"/>
    <w:rsid w:val="005F6BBA"/>
    <w:rsid w:val="006468CA"/>
    <w:rsid w:val="0074254A"/>
    <w:rsid w:val="00752A6F"/>
    <w:rsid w:val="00773BB3"/>
    <w:rsid w:val="007B4A77"/>
    <w:rsid w:val="008110AF"/>
    <w:rsid w:val="008C0987"/>
    <w:rsid w:val="009A612F"/>
    <w:rsid w:val="00A304F2"/>
    <w:rsid w:val="00A903FA"/>
    <w:rsid w:val="00AF1D3D"/>
    <w:rsid w:val="00AF4491"/>
    <w:rsid w:val="00B84086"/>
    <w:rsid w:val="00BB1F17"/>
    <w:rsid w:val="00BD32AE"/>
    <w:rsid w:val="00BE0E5F"/>
    <w:rsid w:val="00C8302D"/>
    <w:rsid w:val="00CC2B88"/>
    <w:rsid w:val="00CD7519"/>
    <w:rsid w:val="00CE1B52"/>
    <w:rsid w:val="00CF53CC"/>
    <w:rsid w:val="00D257C2"/>
    <w:rsid w:val="00D81BC5"/>
    <w:rsid w:val="00D935FB"/>
    <w:rsid w:val="00D94589"/>
    <w:rsid w:val="00DD4CDA"/>
    <w:rsid w:val="00E065E6"/>
    <w:rsid w:val="00E4315B"/>
    <w:rsid w:val="00E61819"/>
    <w:rsid w:val="00E62FE5"/>
    <w:rsid w:val="00EC493B"/>
    <w:rsid w:val="00EF6C8A"/>
    <w:rsid w:val="00EF7503"/>
    <w:rsid w:val="00F127EA"/>
    <w:rsid w:val="00F54BEC"/>
    <w:rsid w:val="00F76A6E"/>
    <w:rsid w:val="00FA0B7E"/>
    <w:rsid w:val="00FA433A"/>
    <w:rsid w:val="00FB210B"/>
    <w:rsid w:val="00FC250B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Education, Training, and Library Occupations</a:t>
            </a:r>
          </a:p>
        </c:rich>
      </c:tx>
      <c:layout>
        <c:manualLayout>
          <c:xMode val="edge"/>
          <c:yMode val="edge"/>
          <c:x val="0.23593921596217945"/>
          <c:y val="3.50750146001570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Postsecondary Teachers (25-1000)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429697120576434E-3"/>
                  <c:y val="0.217807492733485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Education, Training, and Library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3.0499999999999999E-2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Preschool, Primary, Secondary, and Special Education School Teachers (25-2000)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6749E-3"/>
                  <c:y val="7.3600365171744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Education, Training, and Library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1.0500000000000001E-2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 Teachers and Instructors (25-3000)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132E-3"/>
                  <c:y val="0.182722274805163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Education, Training, and Library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4.5499999999999999E-2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Librarians, Curators, and Archivists (25-4000)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0.115942028985507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Education, Training, and Library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2.0199999999999999E-2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Other Education, Training, and Library Occupations (25-9000)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492862429946072E-2"/>
                  <c:y val="-5.115089514066496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Education, Training, and Library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1.47E-2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8344736"/>
        <c:axId val="618345296"/>
        <c:axId val="0"/>
      </c:bar3DChart>
      <c:catAx>
        <c:axId val="618344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8345296"/>
        <c:crosses val="autoZero"/>
        <c:auto val="1"/>
        <c:lblAlgn val="ctr"/>
        <c:lblOffset val="100"/>
        <c:noMultiLvlLbl val="0"/>
      </c:catAx>
      <c:valAx>
        <c:axId val="61834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344736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4424848409100377"/>
          <c:y val="4.28864910404717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748345850708057"/>
          <c:y val="0.19021937072680731"/>
          <c:w val="0.6715677785517572"/>
          <c:h val="0.6367314085739282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Postsecondary Teachers (25-1000)</c:v>
                </c:pt>
                <c:pt idx="1">
                  <c:v>Preschool, Primary, Secondary, and Special Education School Teachers (25-2000)</c:v>
                </c:pt>
                <c:pt idx="2">
                  <c:v>Other Teachers and Instructors      (25-3000)</c:v>
                </c:pt>
                <c:pt idx="3">
                  <c:v>Librarians, Curators, and Archivists (25-4000)</c:v>
                </c:pt>
                <c:pt idx="4">
                  <c:v>Other Education, Training, and Library Occupations (25-9000)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613</c:v>
                </c:pt>
                <c:pt idx="1">
                  <c:v>1371</c:v>
                </c:pt>
                <c:pt idx="2">
                  <c:v>490</c:v>
                </c:pt>
                <c:pt idx="3">
                  <c:v>117</c:v>
                </c:pt>
                <c:pt idx="4">
                  <c:v>764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Postsecondary Teachers (25-1000)</c:v>
                </c:pt>
                <c:pt idx="1">
                  <c:v>Preschool, Primary, Secondary, and Special Education School Teachers (25-2000)</c:v>
                </c:pt>
                <c:pt idx="2">
                  <c:v>Other Teachers and Instructors      (25-3000)</c:v>
                </c:pt>
                <c:pt idx="3">
                  <c:v>Librarians, Curators, and Archivists (25-4000)</c:v>
                </c:pt>
                <c:pt idx="4">
                  <c:v>Other Education, Training, and Library Occupations (25-9000)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637</c:v>
                </c:pt>
                <c:pt idx="1">
                  <c:v>1596</c:v>
                </c:pt>
                <c:pt idx="2">
                  <c:v>376</c:v>
                </c:pt>
                <c:pt idx="3">
                  <c:v>84</c:v>
                </c:pt>
                <c:pt idx="4">
                  <c:v>638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Postsecondary Teachers (25-1000)</c:v>
                </c:pt>
                <c:pt idx="1">
                  <c:v>Preschool, Primary, Secondary, and Special Education School Teachers (25-2000)</c:v>
                </c:pt>
                <c:pt idx="2">
                  <c:v>Other Teachers and Instructors      (25-3000)</c:v>
                </c:pt>
                <c:pt idx="3">
                  <c:v>Librarians, Curators, and Archivists (25-4000)</c:v>
                </c:pt>
                <c:pt idx="4">
                  <c:v>Other Education, Training, and Library Occupations (25-9000)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252</c:v>
                </c:pt>
                <c:pt idx="1">
                  <c:v>213</c:v>
                </c:pt>
                <c:pt idx="2">
                  <c:v>179</c:v>
                </c:pt>
                <c:pt idx="3">
                  <c:v>20</c:v>
                </c:pt>
                <c:pt idx="4">
                  <c:v>104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8.2336677612268233E-2"/>
                  <c:y val="5.272155795340367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499748137543414E-2"/>
                  <c:y val="8.0360325329643795E-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Postsecondary Teachers (25-1000)</c:v>
                </c:pt>
                <c:pt idx="1">
                  <c:v>Preschool, Primary, Secondary, and Special Education School Teachers (25-2000)</c:v>
                </c:pt>
                <c:pt idx="2">
                  <c:v>Other Teachers and Instructors      (25-3000)</c:v>
                </c:pt>
                <c:pt idx="3">
                  <c:v>Librarians, Curators, and Archivists (25-4000)</c:v>
                </c:pt>
                <c:pt idx="4">
                  <c:v>Other Education, Training, and Library Occupations (25-9000)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1502</c:v>
                </c:pt>
                <c:pt idx="1">
                  <c:v>3180</c:v>
                </c:pt>
                <c:pt idx="2">
                  <c:v>1045</c:v>
                </c:pt>
                <c:pt idx="3">
                  <c:v>221</c:v>
                </c:pt>
                <c:pt idx="4">
                  <c:v>1506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18349216"/>
        <c:axId val="618349776"/>
      </c:barChart>
      <c:catAx>
        <c:axId val="61834921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18349776"/>
        <c:crossesAt val="0"/>
        <c:auto val="1"/>
        <c:lblAlgn val="ctr"/>
        <c:lblOffset val="100"/>
        <c:tickLblSkip val="1"/>
        <c:noMultiLvlLbl val="0"/>
      </c:catAx>
      <c:valAx>
        <c:axId val="618349776"/>
        <c:scaling>
          <c:orientation val="minMax"/>
          <c:max val="40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18349216"/>
        <c:crosses val="autoZero"/>
        <c:crossBetween val="between"/>
        <c:majorUnit val="1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5569053868266465"/>
          <c:y val="0.85430284177440785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0.46609</cdr:x>
      <cdr:y>0.91369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76576" y="3524673"/>
          <a:ext cx="3524249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C25C-0211-4A60-8EA8-3EFAC67D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26</cp:revision>
  <cp:lastPrinted>2017-07-17T20:28:00Z</cp:lastPrinted>
  <dcterms:created xsi:type="dcterms:W3CDTF">2016-08-09T16:00:00Z</dcterms:created>
  <dcterms:modified xsi:type="dcterms:W3CDTF">2019-08-12T14:55:00Z</dcterms:modified>
</cp:coreProperties>
</file>