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1F689D" w:rsidRDefault="001F689D" w:rsidP="001F689D">
      <w:pPr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1043940</wp:posOffset>
                </wp:positionH>
                <wp:positionV relativeFrom="margin">
                  <wp:posOffset>772160</wp:posOffset>
                </wp:positionV>
                <wp:extent cx="5581650" cy="1765935"/>
                <wp:effectExtent l="0" t="0" r="0" b="571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1765935"/>
                          <a:chOff x="-5850" y="-74305"/>
                          <a:chExt cx="2152753" cy="2221025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722263"/>
                            <a:ext cx="2146903" cy="142445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Pr="00B57177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(201</w:t>
                              </w:r>
                              <w:r w:rsid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D935FB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3369C7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D2049B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C17FD2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Software Developers, Applications</w:t>
                              </w:r>
                              <w:r w:rsidR="00D055F0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(15-1132)</w:t>
                              </w:r>
                              <w:r w:rsidR="000429F7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0429F7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221</w:t>
                              </w:r>
                              <w:r w:rsidR="000429F7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Information Security Analysts</w:t>
                              </w:r>
                              <w:r w:rsidR="00D055F0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(15-</w:t>
                              </w:r>
                              <w:r w:rsid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1122</w:t>
                              </w:r>
                              <w:r w:rsidR="00D055F0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0429F7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7.23</w:t>
                              </w:r>
                              <w:r w:rsidR="000429F7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="000429F7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and Fastest Loser:   </w:t>
                              </w:r>
                              <w:r w:rsidR="00C17FD2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Computer Programmers</w:t>
                              </w:r>
                              <w:r w:rsidR="00D055F0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(15-1131)</w:t>
                              </w:r>
                              <w:r w:rsidR="000429F7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11</w:t>
                              </w:r>
                              <w:r w:rsidR="000429F7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 (0.</w:t>
                              </w:r>
                              <w:r w:rsid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48</w:t>
                              </w:r>
                              <w:r w:rsidR="000429F7" w:rsidRPr="00B5717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B57177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</w:pPr>
                              <w:r w:rsidRPr="00B57177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Short-Term Outlook</w:t>
                              </w:r>
                              <w:r w:rsidR="0029218E" w:rsidRPr="00B57177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 xml:space="preserve"> 20</w:t>
                              </w:r>
                              <w:r w:rsidR="00B91CAD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18</w:t>
                              </w:r>
                              <w:r w:rsidR="0029218E" w:rsidRPr="00B57177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-20</w:t>
                              </w:r>
                              <w:r w:rsidR="00B91CAD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82.2pt;margin-top:60.8pt;width:439.5pt;height:139.05pt;z-index:-251658240;mso-wrap-distance-left:18pt;mso-wrap-distance-right:18pt;mso-position-horizontal-relative:margin;mso-position-vertical-relative:margin;mso-width-relative:margin;mso-height-relative:margin" coordorigin="-58,-743" coordsize="21527,2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7222;width:21469;height:1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Pr="00B57177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(201</w:t>
                        </w:r>
                        <w:r w:rsid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</w:t>
                        </w:r>
                        <w:r w:rsidR="00D935FB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 w:rsidR="003369C7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D2049B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6</w:t>
                        </w:r>
                        <w:r w:rsid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C17FD2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Software Developers, Applications</w:t>
                        </w:r>
                        <w:r w:rsidR="00D055F0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(15-1132)</w:t>
                        </w:r>
                        <w:r w:rsidR="000429F7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0429F7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221</w:t>
                        </w:r>
                        <w:r w:rsidR="000429F7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Information Security Analysts</w:t>
                        </w:r>
                        <w:r w:rsidR="00D055F0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(15-</w:t>
                        </w:r>
                        <w:r w:rsid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1122</w:t>
                        </w:r>
                        <w:r w:rsidR="00D055F0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="000429F7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– </w:t>
                        </w:r>
                        <w:r w:rsid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7.23</w:t>
                        </w:r>
                        <w:r w:rsidR="000429F7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% </w:t>
                        </w:r>
                        <w:r w:rsidR="000429F7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and Fastest Loser:   </w:t>
                        </w:r>
                        <w:r w:rsidR="00C17FD2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Computer Programmers</w:t>
                        </w:r>
                        <w:r w:rsidR="00D055F0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(15-1131)</w:t>
                        </w:r>
                        <w:r w:rsidR="000429F7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– </w:t>
                        </w:r>
                        <w:r w:rsid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11</w:t>
                        </w:r>
                        <w:r w:rsidR="000429F7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 (0.</w:t>
                        </w:r>
                        <w:r w:rsid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48</w:t>
                        </w:r>
                        <w:r w:rsidR="000429F7" w:rsidRPr="00B5717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%)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B57177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</w:pPr>
                        <w:r w:rsidRPr="00B57177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Short-Term Outlook</w:t>
                        </w:r>
                        <w:r w:rsidR="0029218E" w:rsidRPr="00B57177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 xml:space="preserve"> 20</w:t>
                        </w:r>
                        <w:r w:rsidR="00B91CAD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18</w:t>
                        </w:r>
                        <w:r w:rsidR="0029218E" w:rsidRPr="00B57177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-20</w:t>
                        </w:r>
                        <w:r w:rsidR="00B91CAD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57177" w:rsidRPr="00B571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619875" cy="371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177" w:rsidRPr="005A6DCF" w:rsidRDefault="00B57177" w:rsidP="005A6DCF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A6DC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Computer and Mathematical Occupations (15-0000)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.75pt;margin-top:0;width:521.2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" fillcolor="#823b0b [1605]">
                <v:textbox>
                  <w:txbxContent>
                    <w:p w:rsidR="00B57177" w:rsidRPr="005A6DCF" w:rsidRDefault="00B57177" w:rsidP="005A6DCF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5A6DC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Computer and Mathematical Occupations (15-0000)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049B">
        <w:rPr>
          <w:rFonts w:ascii="Times New Roman" w:hAnsi="Times New Roman" w:cs="Times New Roman"/>
          <w:b/>
          <w:sz w:val="24"/>
          <w:szCs w:val="24"/>
        </w:rPr>
        <w:t>Computer and Mathematical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CE3E28">
        <w:rPr>
          <w:rFonts w:ascii="Times New Roman" w:hAnsi="Times New Roman" w:cs="Times New Roman"/>
          <w:sz w:val="24"/>
          <w:szCs w:val="24"/>
        </w:rPr>
        <w:t>947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increase of </w:t>
      </w:r>
      <w:r w:rsidR="00CE3E28">
        <w:rPr>
          <w:rFonts w:ascii="Times New Roman" w:hAnsi="Times New Roman" w:cs="Times New Roman"/>
          <w:sz w:val="24"/>
          <w:szCs w:val="24"/>
        </w:rPr>
        <w:t>3.62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Of the </w:t>
      </w:r>
      <w:r w:rsidR="00CE3E28">
        <w:rPr>
          <w:rFonts w:ascii="Times New Roman" w:hAnsi="Times New Roman" w:cs="Times New Roman"/>
          <w:sz w:val="24"/>
          <w:szCs w:val="24"/>
        </w:rPr>
        <w:t>2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CE3E28">
        <w:rPr>
          <w:rFonts w:ascii="Times New Roman" w:hAnsi="Times New Roman" w:cs="Times New Roman"/>
          <w:sz w:val="24"/>
          <w:szCs w:val="24"/>
        </w:rPr>
        <w:t>208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D2049B">
        <w:rPr>
          <w:rFonts w:ascii="Times New Roman" w:hAnsi="Times New Roman" w:cs="Times New Roman"/>
          <w:sz w:val="24"/>
          <w:szCs w:val="24"/>
        </w:rPr>
        <w:t>4</w:t>
      </w:r>
      <w:r w:rsidR="00CE3E28">
        <w:rPr>
          <w:rFonts w:ascii="Times New Roman" w:hAnsi="Times New Roman" w:cs="Times New Roman"/>
          <w:sz w:val="24"/>
          <w:szCs w:val="24"/>
        </w:rPr>
        <w:t>60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D2049B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D2049B">
        <w:rPr>
          <w:rFonts w:ascii="Times New Roman" w:hAnsi="Times New Roman" w:cs="Times New Roman"/>
          <w:sz w:val="24"/>
          <w:szCs w:val="24"/>
        </w:rPr>
        <w:t>2</w:t>
      </w:r>
      <w:r w:rsidR="00CE3E28">
        <w:rPr>
          <w:rFonts w:ascii="Times New Roman" w:hAnsi="Times New Roman" w:cs="Times New Roman"/>
          <w:sz w:val="24"/>
          <w:szCs w:val="24"/>
        </w:rPr>
        <w:t>74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CE3E28">
        <w:rPr>
          <w:rFonts w:ascii="Times New Roman" w:hAnsi="Times New Roman" w:cs="Times New Roman"/>
          <w:sz w:val="24"/>
          <w:szCs w:val="24"/>
        </w:rPr>
        <w:t>474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D2049B">
        <w:rPr>
          <w:rFonts w:ascii="Times New Roman" w:hAnsi="Times New Roman" w:cs="Times New Roman"/>
          <w:sz w:val="24"/>
          <w:szCs w:val="24"/>
        </w:rPr>
        <w:t>.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D2049B">
        <w:rPr>
          <w:rFonts w:ascii="Times New Roman" w:hAnsi="Times New Roman" w:cs="Times New Roman"/>
          <w:b/>
          <w:i/>
          <w:sz w:val="24"/>
          <w:szCs w:val="24"/>
        </w:rPr>
        <w:t>Computer Occupations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CE3E28">
        <w:rPr>
          <w:rFonts w:ascii="Times New Roman" w:hAnsi="Times New Roman" w:cs="Times New Roman"/>
          <w:sz w:val="24"/>
          <w:szCs w:val="24"/>
        </w:rPr>
        <w:t>866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CE3E28">
        <w:rPr>
          <w:rFonts w:ascii="Times New Roman" w:hAnsi="Times New Roman" w:cs="Times New Roman"/>
          <w:sz w:val="24"/>
          <w:szCs w:val="24"/>
        </w:rPr>
        <w:t>3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CE3E28">
        <w:rPr>
          <w:rFonts w:ascii="Times New Roman" w:hAnsi="Times New Roman" w:cs="Times New Roman"/>
          <w:sz w:val="24"/>
          <w:szCs w:val="24"/>
        </w:rPr>
        <w:t>46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D2049B">
        <w:rPr>
          <w:rFonts w:ascii="Times New Roman" w:hAnsi="Times New Roman" w:cs="Times New Roman"/>
          <w:sz w:val="24"/>
          <w:szCs w:val="24"/>
        </w:rPr>
        <w:t>Software Developers</w:t>
      </w:r>
      <w:r w:rsidR="00C97206">
        <w:rPr>
          <w:rFonts w:ascii="Times New Roman" w:hAnsi="Times New Roman" w:cs="Times New Roman"/>
          <w:sz w:val="24"/>
          <w:szCs w:val="24"/>
        </w:rPr>
        <w:t xml:space="preserve">, Applications leads the major group in numeric change with </w:t>
      </w:r>
      <w:r w:rsidR="00CE3E28">
        <w:rPr>
          <w:rFonts w:ascii="Times New Roman" w:hAnsi="Times New Roman" w:cs="Times New Roman"/>
          <w:sz w:val="24"/>
          <w:szCs w:val="24"/>
        </w:rPr>
        <w:t>221</w:t>
      </w:r>
      <w:r w:rsidR="00C97206">
        <w:rPr>
          <w:rFonts w:ascii="Times New Roman" w:hAnsi="Times New Roman" w:cs="Times New Roman"/>
          <w:sz w:val="24"/>
          <w:szCs w:val="24"/>
        </w:rPr>
        <w:t xml:space="preserve"> new jobs.  </w:t>
      </w:r>
      <w:r w:rsidR="00CE3E28">
        <w:rPr>
          <w:rFonts w:ascii="Times New Roman" w:hAnsi="Times New Roman" w:cs="Times New Roman"/>
          <w:sz w:val="24"/>
          <w:szCs w:val="24"/>
        </w:rPr>
        <w:t>Information Security Analysts is slated to be the fastest growing occupation at a growth of 7.23 percent.</w:t>
      </w:r>
      <w:r w:rsidR="00C97206">
        <w:rPr>
          <w:rFonts w:ascii="Times New Roman" w:hAnsi="Times New Roman" w:cs="Times New Roman"/>
          <w:sz w:val="24"/>
          <w:szCs w:val="24"/>
        </w:rPr>
        <w:t xml:space="preserve">  </w:t>
      </w:r>
      <w:r w:rsidR="00CE3E28">
        <w:rPr>
          <w:rFonts w:ascii="Times New Roman" w:hAnsi="Times New Roman" w:cs="Times New Roman"/>
          <w:sz w:val="24"/>
          <w:szCs w:val="24"/>
        </w:rPr>
        <w:t xml:space="preserve">Although improving from previous years, </w:t>
      </w:r>
      <w:r w:rsidR="00C97206">
        <w:rPr>
          <w:rFonts w:ascii="Times New Roman" w:hAnsi="Times New Roman" w:cs="Times New Roman"/>
          <w:sz w:val="24"/>
          <w:szCs w:val="24"/>
        </w:rPr>
        <w:t>Computer Programmers</w:t>
      </w:r>
      <w:r w:rsidR="00CE3E28">
        <w:rPr>
          <w:rFonts w:ascii="Times New Roman" w:hAnsi="Times New Roman" w:cs="Times New Roman"/>
          <w:sz w:val="24"/>
          <w:szCs w:val="24"/>
        </w:rPr>
        <w:t xml:space="preserve"> are predicted to experience a small loss of 11 jobs</w:t>
      </w:r>
      <w:r w:rsidR="00C97206">
        <w:rPr>
          <w:rFonts w:ascii="Times New Roman" w:hAnsi="Times New Roman" w:cs="Times New Roman"/>
          <w:sz w:val="24"/>
          <w:szCs w:val="24"/>
        </w:rPr>
        <w:t>.</w:t>
      </w:r>
      <w:r w:rsidR="00035EEF">
        <w:rPr>
          <w:rFonts w:ascii="Times New Roman" w:hAnsi="Times New Roman" w:cs="Times New Roman"/>
          <w:sz w:val="24"/>
          <w:szCs w:val="24"/>
        </w:rPr>
        <w:t xml:space="preserve">  The occupational family is expecting around </w:t>
      </w:r>
      <w:r w:rsidR="00CE3E28">
        <w:rPr>
          <w:rFonts w:ascii="Times New Roman" w:hAnsi="Times New Roman" w:cs="Times New Roman"/>
          <w:sz w:val="24"/>
          <w:szCs w:val="24"/>
        </w:rPr>
        <w:t>2</w:t>
      </w:r>
      <w:r w:rsidR="00035EEF">
        <w:rPr>
          <w:rFonts w:ascii="Times New Roman" w:hAnsi="Times New Roman" w:cs="Times New Roman"/>
          <w:sz w:val="24"/>
          <w:szCs w:val="24"/>
        </w:rPr>
        <w:t>,</w:t>
      </w:r>
      <w:r w:rsidR="00CE3E28">
        <w:rPr>
          <w:rFonts w:ascii="Times New Roman" w:hAnsi="Times New Roman" w:cs="Times New Roman"/>
          <w:sz w:val="24"/>
          <w:szCs w:val="24"/>
        </w:rPr>
        <w:t>095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openings. </w:t>
      </w:r>
    </w:p>
    <w:p w:rsidR="00C8302D" w:rsidRPr="005A6DCF" w:rsidRDefault="00035EEF" w:rsidP="005A6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C97206">
        <w:rPr>
          <w:rFonts w:ascii="Times New Roman" w:hAnsi="Times New Roman" w:cs="Times New Roman"/>
          <w:b/>
          <w:i/>
          <w:sz w:val="24"/>
          <w:szCs w:val="24"/>
        </w:rPr>
        <w:t>Mathematical Science Occupations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206" w:rsidRPr="00C97206">
        <w:rPr>
          <w:rFonts w:ascii="Times New Roman" w:hAnsi="Times New Roman" w:cs="Times New Roman"/>
          <w:sz w:val="24"/>
          <w:szCs w:val="24"/>
        </w:rPr>
        <w:t>occupational family</w:t>
      </w:r>
      <w:r w:rsidR="00C97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 xml:space="preserve">is predicted to </w:t>
      </w:r>
      <w:r w:rsidR="00CE3E28">
        <w:rPr>
          <w:rFonts w:ascii="Times New Roman" w:hAnsi="Times New Roman" w:cs="Times New Roman"/>
          <w:sz w:val="24"/>
          <w:szCs w:val="24"/>
        </w:rPr>
        <w:t>experience an</w:t>
      </w:r>
      <w:r w:rsidR="00C97206">
        <w:rPr>
          <w:rFonts w:ascii="Times New Roman" w:hAnsi="Times New Roman" w:cs="Times New Roman"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 xml:space="preserve">increase </w:t>
      </w:r>
      <w:r w:rsidR="00C97206">
        <w:rPr>
          <w:rFonts w:ascii="Times New Roman" w:hAnsi="Times New Roman" w:cs="Times New Roman"/>
          <w:sz w:val="24"/>
          <w:szCs w:val="24"/>
        </w:rPr>
        <w:t xml:space="preserve">of </w:t>
      </w:r>
      <w:r w:rsidR="00CE3E28">
        <w:rPr>
          <w:rFonts w:ascii="Times New Roman" w:hAnsi="Times New Roman" w:cs="Times New Roman"/>
          <w:sz w:val="24"/>
          <w:szCs w:val="24"/>
        </w:rPr>
        <w:t>81</w:t>
      </w:r>
      <w:r w:rsidR="00C97206">
        <w:rPr>
          <w:rFonts w:ascii="Times New Roman" w:hAnsi="Times New Roman" w:cs="Times New Roman"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>jobs</w:t>
      </w:r>
      <w:r w:rsidR="00C97206">
        <w:rPr>
          <w:rFonts w:ascii="Times New Roman" w:hAnsi="Times New Roman" w:cs="Times New Roman"/>
          <w:sz w:val="24"/>
          <w:szCs w:val="24"/>
        </w:rPr>
        <w:t xml:space="preserve">, an </w:t>
      </w:r>
      <w:r>
        <w:rPr>
          <w:rFonts w:ascii="Times New Roman" w:hAnsi="Times New Roman" w:cs="Times New Roman"/>
          <w:sz w:val="24"/>
          <w:szCs w:val="24"/>
        </w:rPr>
        <w:t xml:space="preserve">increase of </w:t>
      </w:r>
      <w:r w:rsidR="00CE3E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3E2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percent.  </w:t>
      </w:r>
      <w:r w:rsidR="00CE3E28" w:rsidRPr="00CE3E28">
        <w:rPr>
          <w:rFonts w:ascii="Times New Roman" w:hAnsi="Times New Roman" w:cs="Times New Roman"/>
          <w:sz w:val="24"/>
          <w:szCs w:val="24"/>
        </w:rPr>
        <w:t>Operations Research Analysts</w:t>
      </w:r>
      <w:r w:rsidR="00CE3E28">
        <w:rPr>
          <w:rFonts w:ascii="Times New Roman" w:hAnsi="Times New Roman" w:cs="Times New Roman"/>
          <w:sz w:val="24"/>
          <w:szCs w:val="24"/>
        </w:rPr>
        <w:t xml:space="preserve"> leads this occupational family with a gain of 43 new jobs.</w:t>
      </w:r>
      <w:r w:rsidR="00C97206">
        <w:rPr>
          <w:rFonts w:ascii="Times New Roman" w:hAnsi="Times New Roman" w:cs="Times New Roman"/>
          <w:sz w:val="24"/>
          <w:szCs w:val="24"/>
        </w:rPr>
        <w:t xml:space="preserve">  </w:t>
      </w:r>
      <w:r w:rsidR="004D0738">
        <w:rPr>
          <w:rFonts w:ascii="Times New Roman" w:hAnsi="Times New Roman" w:cs="Times New Roman"/>
          <w:sz w:val="24"/>
          <w:szCs w:val="24"/>
        </w:rPr>
        <w:t xml:space="preserve">Around </w:t>
      </w:r>
      <w:r w:rsidR="00B57177">
        <w:rPr>
          <w:rFonts w:ascii="Times New Roman" w:hAnsi="Times New Roman" w:cs="Times New Roman"/>
          <w:sz w:val="24"/>
          <w:szCs w:val="24"/>
        </w:rPr>
        <w:t>113</w:t>
      </w:r>
      <w:r w:rsidR="004D0738">
        <w:rPr>
          <w:rFonts w:ascii="Times New Roman" w:hAnsi="Times New Roman" w:cs="Times New Roman"/>
          <w:sz w:val="24"/>
          <w:szCs w:val="24"/>
        </w:rPr>
        <w:t xml:space="preserve"> annual job o</w:t>
      </w:r>
      <w:r w:rsidR="005A6DCF">
        <w:rPr>
          <w:rFonts w:ascii="Times New Roman" w:hAnsi="Times New Roman" w:cs="Times New Roman"/>
          <w:sz w:val="24"/>
          <w:szCs w:val="24"/>
        </w:rPr>
        <w:t>penings are anticipated</w:t>
      </w:r>
      <w:r w:rsidR="00B91CAD">
        <w:rPr>
          <w:rFonts w:ascii="Times New Roman" w:hAnsi="Times New Roman" w:cs="Times New Roman"/>
          <w:sz w:val="24"/>
          <w:szCs w:val="24"/>
        </w:rPr>
        <w:t xml:space="preserve"> for the occupational family</w:t>
      </w:r>
      <w:bookmarkStart w:id="0" w:name="_GoBack"/>
      <w:bookmarkEnd w:id="0"/>
      <w:r w:rsidR="005A6DCF">
        <w:rPr>
          <w:rFonts w:ascii="Times New Roman" w:hAnsi="Times New Roman" w:cs="Times New Roman"/>
          <w:sz w:val="24"/>
          <w:szCs w:val="24"/>
        </w:rPr>
        <w:t>.</w:t>
      </w:r>
    </w:p>
    <w:p w:rsidR="00490AD7" w:rsidRPr="005A6DCF" w:rsidRDefault="007B4A77" w:rsidP="005A6D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368037" wp14:editId="74E1A993">
            <wp:extent cx="6005195" cy="3429000"/>
            <wp:effectExtent l="57150" t="57150" r="52705" b="571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4556" w:rsidRDefault="003A4556" w:rsidP="00435944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lastRenderedPageBreak/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519" w:rsidRPr="00BE3A7E" w:rsidRDefault="00CD7519" w:rsidP="00CD75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3A7E">
        <w:rPr>
          <w:rFonts w:ascii="Times New Roman" w:hAnsi="Times New Roman" w:cs="Times New Roman"/>
          <w:b/>
          <w:sz w:val="24"/>
          <w:szCs w:val="24"/>
        </w:rPr>
        <w:t>Workforce Development Area Outlook</w:t>
      </w:r>
      <w:r w:rsidR="00F76A6E" w:rsidRPr="00BE3A7E">
        <w:rPr>
          <w:rFonts w:ascii="Times New Roman" w:hAnsi="Times New Roman" w:cs="Times New Roman"/>
          <w:b/>
          <w:sz w:val="24"/>
          <w:szCs w:val="24"/>
        </w:rPr>
        <w:br/>
      </w:r>
      <w:r w:rsidR="00435944" w:rsidRPr="00BE3A7E">
        <w:rPr>
          <w:rFonts w:ascii="Times New Roman" w:hAnsi="Times New Roman" w:cs="Times New Roman"/>
          <w:b/>
          <w:sz w:val="24"/>
          <w:szCs w:val="24"/>
        </w:rPr>
        <w:t>Computer and Mathematical Occupations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BE3A7E" w:rsidRPr="00BE3A7E" w:rsidTr="0044737A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BE3A7E" w:rsidRPr="00BE3A7E" w:rsidRDefault="00BE3A7E" w:rsidP="00003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Development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BE3A7E" w:rsidRPr="00BE3A7E" w:rsidRDefault="00BE3A7E" w:rsidP="00BE3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BE3A7E" w:rsidRPr="00BE3A7E" w:rsidRDefault="00BE3A7E" w:rsidP="00BE3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BE3A7E" w:rsidRPr="00BE3A7E" w:rsidRDefault="00BE3A7E" w:rsidP="00003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3A7E" w:rsidRPr="00BE3A7E" w:rsidRDefault="00BE3A7E" w:rsidP="00003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BE3A7E" w:rsidRDefault="00BE3A7E" w:rsidP="00003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BE3A7E" w:rsidRDefault="00BE3A7E" w:rsidP="00003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BE3A7E" w:rsidRDefault="00BE3A7E" w:rsidP="00003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BE3A7E" w:rsidRDefault="00BE3A7E" w:rsidP="00003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BE3A7E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</w:t>
            </w:r>
          </w:p>
        </w:tc>
      </w:tr>
      <w:tr w:rsidR="00BE3A7E" w:rsidRPr="00BE3A7E" w:rsidTr="0044737A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003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 w:rsid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 w:rsid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BE3A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4.36</w:t>
            </w:r>
            <w:r w:rsid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</w:t>
            </w:r>
          </w:p>
        </w:tc>
      </w:tr>
      <w:tr w:rsidR="00BE3A7E" w:rsidRPr="00BE3A7E" w:rsidTr="0044737A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003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BE3A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</w:t>
            </w:r>
            <w:r w:rsid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BE3A7E" w:rsidRPr="00BE3A7E" w:rsidTr="0044737A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003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BE3A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</w:t>
            </w:r>
            <w:r w:rsid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BE3A7E" w:rsidRPr="00BE3A7E" w:rsidTr="0044737A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003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BE3A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E3A7E" w:rsidRPr="00BE3A7E" w:rsidTr="0044737A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003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BE3A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3F563E" w:rsidRPr="00BE3A7E" w:rsidTr="0044737A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3F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Little Rock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BE3A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</w:t>
            </w:r>
            <w:r w:rsid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</w:t>
            </w:r>
          </w:p>
        </w:tc>
      </w:tr>
      <w:tr w:rsidR="003F563E" w:rsidRPr="00BE3A7E" w:rsidTr="0044737A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3F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BE3A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</w:t>
            </w:r>
            <w:r w:rsid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E3A7E" w:rsidRPr="00BE3A7E" w:rsidTr="0044737A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003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3A7E" w:rsidRPr="003F563E" w:rsidRDefault="00BE3A7E" w:rsidP="00BE3A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E3A7E" w:rsidRPr="003F563E" w:rsidRDefault="00BE3A7E" w:rsidP="00003E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3F563E" w:rsidRPr="00BE3A7E" w:rsidTr="0044737A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3F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563E" w:rsidRPr="003F563E" w:rsidRDefault="003F563E" w:rsidP="00BE3A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</w:t>
            </w:r>
            <w:r w:rsidR="00BE3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563E" w:rsidRPr="003F563E" w:rsidRDefault="003F563E" w:rsidP="003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</w:tbl>
    <w:p w:rsidR="003F563E" w:rsidRPr="00B57177" w:rsidRDefault="003F563E" w:rsidP="00CD75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58E9" w:rsidRPr="000D6138" w:rsidRDefault="001258E9" w:rsidP="00CD75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7519" w:rsidRPr="00D935FB" w:rsidRDefault="00CD7519" w:rsidP="00CD7519">
      <w:pPr>
        <w:rPr>
          <w:rFonts w:ascii="Times New Roman" w:hAnsi="Times New Roman" w:cs="Times New Roman"/>
          <w:sz w:val="24"/>
          <w:szCs w:val="24"/>
        </w:rPr>
      </w:pPr>
    </w:p>
    <w:sectPr w:rsidR="00CD7519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66B43"/>
    <w:rsid w:val="00070BD4"/>
    <w:rsid w:val="000960E8"/>
    <w:rsid w:val="00096352"/>
    <w:rsid w:val="000D6138"/>
    <w:rsid w:val="001258E9"/>
    <w:rsid w:val="00154FDA"/>
    <w:rsid w:val="001F689D"/>
    <w:rsid w:val="00227498"/>
    <w:rsid w:val="0029218E"/>
    <w:rsid w:val="002E0A24"/>
    <w:rsid w:val="003369C7"/>
    <w:rsid w:val="003A4556"/>
    <w:rsid w:val="003A6F63"/>
    <w:rsid w:val="003F563E"/>
    <w:rsid w:val="00435944"/>
    <w:rsid w:val="00440DB3"/>
    <w:rsid w:val="0044737A"/>
    <w:rsid w:val="00457BC4"/>
    <w:rsid w:val="00490AD7"/>
    <w:rsid w:val="004D0738"/>
    <w:rsid w:val="00504AAD"/>
    <w:rsid w:val="00580031"/>
    <w:rsid w:val="005A6DCF"/>
    <w:rsid w:val="005F6BBA"/>
    <w:rsid w:val="006468CA"/>
    <w:rsid w:val="0065029B"/>
    <w:rsid w:val="00752A6F"/>
    <w:rsid w:val="00773BB3"/>
    <w:rsid w:val="007B4A77"/>
    <w:rsid w:val="009A1A67"/>
    <w:rsid w:val="00A304F2"/>
    <w:rsid w:val="00A903FA"/>
    <w:rsid w:val="00AF4491"/>
    <w:rsid w:val="00B46ABB"/>
    <w:rsid w:val="00B57177"/>
    <w:rsid w:val="00B91CAD"/>
    <w:rsid w:val="00BE0E5F"/>
    <w:rsid w:val="00BE3A7E"/>
    <w:rsid w:val="00C17FD2"/>
    <w:rsid w:val="00C8302D"/>
    <w:rsid w:val="00C97206"/>
    <w:rsid w:val="00CC2B88"/>
    <w:rsid w:val="00CD7519"/>
    <w:rsid w:val="00CE1B52"/>
    <w:rsid w:val="00CE3E28"/>
    <w:rsid w:val="00CF53CC"/>
    <w:rsid w:val="00D055F0"/>
    <w:rsid w:val="00D2049B"/>
    <w:rsid w:val="00D257C2"/>
    <w:rsid w:val="00D935FB"/>
    <w:rsid w:val="00E61819"/>
    <w:rsid w:val="00EC493B"/>
    <w:rsid w:val="00EF6C8A"/>
    <w:rsid w:val="00EF7503"/>
    <w:rsid w:val="00F127EA"/>
    <w:rsid w:val="00F54BEC"/>
    <w:rsid w:val="00F76A6E"/>
    <w:rsid w:val="00FA0B7E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Computer and Mathematical Occupations</a:t>
            </a:r>
          </a:p>
        </c:rich>
      </c:tx>
      <c:layout>
        <c:manualLayout>
          <c:xMode val="edge"/>
          <c:yMode val="edge"/>
          <c:x val="0.23805405153371373"/>
          <c:y val="3.34269466316710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Computer Occupations (15-1000)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148615490421211E-3"/>
                  <c:y val="0.16665659759282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Computer and Mathematical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3.4599999999999999E-2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Mathematical Science (15-2000)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429664648691752E-3"/>
                  <c:y val="0.28843412476253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Computer and Mathematical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7.2300000000000003E-2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435024"/>
        <c:axId val="197312272"/>
        <c:axId val="0"/>
      </c:bar3DChart>
      <c:catAx>
        <c:axId val="117435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197312272"/>
        <c:crosses val="autoZero"/>
        <c:auto val="1"/>
        <c:lblAlgn val="ctr"/>
        <c:lblOffset val="100"/>
        <c:noMultiLvlLbl val="0"/>
      </c:catAx>
      <c:valAx>
        <c:axId val="19731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43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7310851295103263"/>
          <c:y val="3.630212890055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0009591393668383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Computer Occupations (15-1000)</c:v>
                </c:pt>
                <c:pt idx="1">
                  <c:v>Mathematical Science (15-2000)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438</c:v>
                </c:pt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Computer Occupations (15-1000)</c:v>
                </c:pt>
                <c:pt idx="1">
                  <c:v>Mathematical Science (15-2000)</c:v>
                </c:pt>
              </c:strCache>
            </c:strRef>
          </c:cat>
          <c:val>
            <c:numRef>
              <c:f>Sheet1!$C$2:$C$3</c:f>
              <c:numCache>
                <c:formatCode>#,##0</c:formatCode>
                <c:ptCount val="2"/>
                <c:pt idx="0">
                  <c:v>1224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Computer Occupations (15-1000)</c:v>
                </c:pt>
                <c:pt idx="1">
                  <c:v>Mathematical Science (15-2000)</c:v>
                </c:pt>
              </c:strCache>
            </c:strRef>
          </c:cat>
          <c:val>
            <c:numRef>
              <c:f>Sheet1!$D$2:$D$3</c:f>
              <c:numCache>
                <c:formatCode>#,##0</c:formatCode>
                <c:ptCount val="2"/>
                <c:pt idx="0">
                  <c:v>433</c:v>
                </c:pt>
                <c:pt idx="1">
                  <c:v>40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7.2716667992258538E-2"/>
                  <c:y val="1.514921745892874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Sheet1!$A$2:$A$3</c:f>
              <c:strCache>
                <c:ptCount val="2"/>
                <c:pt idx="0">
                  <c:v>Computer Occupations (15-1000)</c:v>
                </c:pt>
                <c:pt idx="1">
                  <c:v>Mathematical Science (15-2000)</c:v>
                </c:pt>
              </c:strCache>
            </c:strRef>
          </c:cat>
          <c:val>
            <c:numRef>
              <c:f>Sheet1!$E$2:$E$3</c:f>
              <c:numCache>
                <c:formatCode>#,##0</c:formatCode>
                <c:ptCount val="2"/>
                <c:pt idx="0">
                  <c:v>2095</c:v>
                </c:pt>
                <c:pt idx="1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97316192"/>
        <c:axId val="197316752"/>
      </c:barChart>
      <c:catAx>
        <c:axId val="19731619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197316752"/>
        <c:crossesAt val="0"/>
        <c:auto val="1"/>
        <c:lblAlgn val="ctr"/>
        <c:lblOffset val="100"/>
        <c:tickLblSkip val="1"/>
        <c:noMultiLvlLbl val="0"/>
      </c:catAx>
      <c:valAx>
        <c:axId val="197316752"/>
        <c:scaling>
          <c:orientation val="minMax"/>
          <c:max val="24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197316192"/>
        <c:crosses val="autoZero"/>
        <c:crossBetween val="between"/>
        <c:majorUnit val="12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5761454060666659"/>
          <c:y val="0.76212177181556018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0.46754</cdr:x>
      <cdr:y>0.84703</cdr:y>
    </cdr:from>
    <cdr:to>
      <cdr:x>0.98413</cdr:x>
      <cdr:y>0.93334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86130" y="3267507"/>
          <a:ext cx="3409920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F587-25A9-4996-ABF6-1CCD09D3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28</cp:revision>
  <cp:lastPrinted>2017-07-17T20:28:00Z</cp:lastPrinted>
  <dcterms:created xsi:type="dcterms:W3CDTF">2016-08-09T16:00:00Z</dcterms:created>
  <dcterms:modified xsi:type="dcterms:W3CDTF">2019-08-09T17:10:00Z</dcterms:modified>
</cp:coreProperties>
</file>