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EF" w:rsidRPr="00A2382C" w:rsidRDefault="00656C30" w:rsidP="00A53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85090</wp:posOffset>
                </wp:positionH>
                <wp:positionV relativeFrom="margin">
                  <wp:posOffset>438150</wp:posOffset>
                </wp:positionV>
                <wp:extent cx="6219825" cy="17430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743075"/>
                          <a:chOff x="-2003" y="-74305"/>
                          <a:chExt cx="2148906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2003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2E2564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E60146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369C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82</w:t>
                              </w:r>
                              <w:r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Management Analysts </w:t>
                              </w:r>
                              <w:r w:rsidR="0052763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(13-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52763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11)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2382C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396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8D3069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Insurance Underwriters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2763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(13-2053) – </w:t>
                              </w:r>
                              <w:r w:rsidR="008D3069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.70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8D3069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Labor Relations Specialists</w:t>
                              </w:r>
                              <w:r w:rsidR="0052763B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(13-1075)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6 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jobs (</w:t>
                              </w:r>
                              <w:r w:rsidR="008D3069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E2564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59</w:t>
                              </w:r>
                              <w:r w:rsidR="000429F7" w:rsidRPr="002E256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2E2564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2E256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2E256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201</w:t>
                              </w:r>
                              <w:r w:rsidR="002E256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9218E" w:rsidRPr="002E256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2E256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6.7pt;margin-top:34.5pt;width:489.75pt;height:137.25pt;z-index:-251658240;mso-wrap-distance-left:18pt;mso-wrap-distance-right:18pt;mso-position-horizontal-relative:margin;mso-position-vertical-relative:margin;mso-width-relative:margin;mso-height-relative:margin" coordorigin="-20,-743" coordsize="21489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">
                <v:rect id="Rectangle 202" o:spid="_x0000_s1027" style="position:absolute;left:-20;top:-743;width:21489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2E2564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E60146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3369C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82</w:t>
                        </w:r>
                        <w:r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Management Analysts </w:t>
                        </w:r>
                        <w:r w:rsidR="0052763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(13-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11</w:t>
                        </w:r>
                        <w:r w:rsidR="0052763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11)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A2382C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396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8D3069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Insurance Underwriters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52763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(13-2053) – </w:t>
                        </w:r>
                        <w:r w:rsidR="008D3069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9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.70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8D3069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Labor Relations Specialists</w:t>
                        </w:r>
                        <w:r w:rsidR="0052763B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(13-1075)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6 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jobs (</w:t>
                        </w:r>
                        <w:r w:rsidR="008D3069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2E2564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59</w:t>
                        </w:r>
                        <w:r w:rsidR="000429F7" w:rsidRPr="002E256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2E2564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2E256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2E256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201</w:t>
                        </w:r>
                        <w:r w:rsidR="002E256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8</w:t>
                        </w:r>
                        <w:r w:rsidR="0029218E" w:rsidRPr="002E256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2E256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E256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62198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64" w:rsidRPr="00A53406" w:rsidRDefault="002E2564" w:rsidP="002E256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5340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Business and Financial Operations Occupations (13-0000)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.7pt;margin-top:0;width:489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" fillcolor="#823b0b [1605]">
                <v:textbox>
                  <w:txbxContent>
                    <w:p w:rsidR="002E2564" w:rsidRPr="00A53406" w:rsidRDefault="002E2564" w:rsidP="002E256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5340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Business and Financial Operations Occupations (13-0000)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A2382C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E60146">
        <w:rPr>
          <w:rFonts w:ascii="Times New Roman" w:hAnsi="Times New Roman" w:cs="Times New Roman"/>
          <w:b/>
          <w:sz w:val="24"/>
          <w:szCs w:val="24"/>
        </w:rPr>
        <w:t>Business and Financial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FE2C4C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270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</w:t>
      </w:r>
      <w:r w:rsidR="00A2382C">
        <w:rPr>
          <w:rFonts w:ascii="Times New Roman" w:hAnsi="Times New Roman" w:cs="Times New Roman"/>
          <w:sz w:val="24"/>
          <w:szCs w:val="24"/>
        </w:rPr>
        <w:br/>
      </w:r>
      <w:r w:rsidR="00773BB3">
        <w:rPr>
          <w:rFonts w:ascii="Times New Roman" w:hAnsi="Times New Roman" w:cs="Times New Roman"/>
          <w:sz w:val="24"/>
          <w:szCs w:val="24"/>
        </w:rPr>
        <w:t xml:space="preserve">increase of </w:t>
      </w:r>
      <w:r w:rsidR="00E60146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FE2C4C">
        <w:rPr>
          <w:rFonts w:ascii="Times New Roman" w:hAnsi="Times New Roman" w:cs="Times New Roman"/>
          <w:sz w:val="24"/>
          <w:szCs w:val="24"/>
        </w:rPr>
        <w:t>82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FE2C4C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461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7E59D1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802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7E59D1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524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FE2C4C">
        <w:rPr>
          <w:rFonts w:ascii="Times New Roman" w:hAnsi="Times New Roman" w:cs="Times New Roman"/>
          <w:sz w:val="24"/>
          <w:szCs w:val="24"/>
        </w:rPr>
        <w:t>1,135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52763B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  <w:r w:rsidR="00A53406">
        <w:rPr>
          <w:rFonts w:ascii="Times New Roman" w:hAnsi="Times New Roman" w:cs="Times New Roman"/>
          <w:sz w:val="24"/>
          <w:szCs w:val="24"/>
        </w:rPr>
        <w:br/>
      </w:r>
      <w:r w:rsidR="00A5340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7E59D1" w:rsidRPr="007E59D1">
        <w:rPr>
          <w:rFonts w:ascii="Times New Roman" w:hAnsi="Times New Roman" w:cs="Times New Roman"/>
          <w:b/>
          <w:i/>
          <w:sz w:val="24"/>
          <w:szCs w:val="24"/>
        </w:rPr>
        <w:t>Business Operations Specialists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7E59D1">
        <w:rPr>
          <w:rFonts w:ascii="Times New Roman" w:hAnsi="Times New Roman" w:cs="Times New Roman"/>
          <w:sz w:val="24"/>
          <w:szCs w:val="24"/>
        </w:rPr>
        <w:t>1,</w:t>
      </w:r>
      <w:r w:rsidR="00FE2C4C">
        <w:rPr>
          <w:rFonts w:ascii="Times New Roman" w:hAnsi="Times New Roman" w:cs="Times New Roman"/>
          <w:sz w:val="24"/>
          <w:szCs w:val="24"/>
        </w:rPr>
        <w:t>601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FE2C4C">
        <w:rPr>
          <w:rFonts w:ascii="Times New Roman" w:hAnsi="Times New Roman" w:cs="Times New Roman"/>
          <w:sz w:val="24"/>
          <w:szCs w:val="24"/>
        </w:rPr>
        <w:t>4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7E59D1">
        <w:rPr>
          <w:rFonts w:ascii="Times New Roman" w:hAnsi="Times New Roman" w:cs="Times New Roman"/>
          <w:sz w:val="24"/>
          <w:szCs w:val="24"/>
        </w:rPr>
        <w:t>1</w:t>
      </w:r>
      <w:r w:rsidR="00FE2C4C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FE2C4C" w:rsidRPr="007E59D1">
        <w:rPr>
          <w:rFonts w:ascii="Times New Roman" w:hAnsi="Times New Roman" w:cs="Times New Roman"/>
          <w:sz w:val="24"/>
          <w:szCs w:val="24"/>
        </w:rPr>
        <w:t xml:space="preserve">Management Analysts </w:t>
      </w:r>
      <w:r w:rsidR="00FE2C4C">
        <w:rPr>
          <w:rFonts w:ascii="Times New Roman" w:hAnsi="Times New Roman" w:cs="Times New Roman"/>
          <w:sz w:val="24"/>
          <w:szCs w:val="24"/>
        </w:rPr>
        <w:t xml:space="preserve">leads the </w:t>
      </w:r>
      <w:r w:rsidR="00FE2C4C" w:rsidRPr="00FE2C4C">
        <w:rPr>
          <w:rFonts w:ascii="Times New Roman" w:hAnsi="Times New Roman" w:cs="Times New Roman"/>
          <w:b/>
          <w:sz w:val="24"/>
          <w:szCs w:val="24"/>
        </w:rPr>
        <w:t>Business and Financial Operations</w:t>
      </w:r>
      <w:r w:rsidR="00FE2C4C">
        <w:rPr>
          <w:rFonts w:ascii="Times New Roman" w:hAnsi="Times New Roman" w:cs="Times New Roman"/>
          <w:sz w:val="24"/>
          <w:szCs w:val="24"/>
        </w:rPr>
        <w:t xml:space="preserve"> major group with 396 new jobs expected making the Top 20 Growing Industries list.  </w:t>
      </w:r>
      <w:r w:rsidR="007E59D1" w:rsidRPr="007E59D1">
        <w:rPr>
          <w:rFonts w:ascii="Times New Roman" w:hAnsi="Times New Roman" w:cs="Times New Roman"/>
          <w:sz w:val="24"/>
          <w:szCs w:val="24"/>
        </w:rPr>
        <w:t>Market Research Analysts and Marketing Specialists</w:t>
      </w:r>
      <w:r w:rsidR="007E59D1">
        <w:rPr>
          <w:rFonts w:ascii="Times New Roman" w:hAnsi="Times New Roman" w:cs="Times New Roman"/>
          <w:sz w:val="24"/>
          <w:szCs w:val="24"/>
        </w:rPr>
        <w:t xml:space="preserve"> is set to add </w:t>
      </w:r>
      <w:r w:rsidR="00FE2C4C">
        <w:rPr>
          <w:rFonts w:ascii="Times New Roman" w:hAnsi="Times New Roman" w:cs="Times New Roman"/>
          <w:sz w:val="24"/>
          <w:szCs w:val="24"/>
        </w:rPr>
        <w:t>279</w:t>
      </w:r>
      <w:r w:rsidR="007E59D1">
        <w:rPr>
          <w:rFonts w:ascii="Times New Roman" w:hAnsi="Times New Roman" w:cs="Times New Roman"/>
          <w:sz w:val="24"/>
          <w:szCs w:val="24"/>
        </w:rPr>
        <w:t xml:space="preserve"> jobs, a </w:t>
      </w:r>
      <w:r w:rsidR="00FE2C4C">
        <w:rPr>
          <w:rFonts w:ascii="Times New Roman" w:hAnsi="Times New Roman" w:cs="Times New Roman"/>
          <w:sz w:val="24"/>
          <w:szCs w:val="24"/>
        </w:rPr>
        <w:t>5</w:t>
      </w:r>
      <w:r w:rsidR="007E59D1">
        <w:rPr>
          <w:rFonts w:ascii="Times New Roman" w:hAnsi="Times New Roman" w:cs="Times New Roman"/>
          <w:sz w:val="24"/>
          <w:szCs w:val="24"/>
        </w:rPr>
        <w:t>.</w:t>
      </w:r>
      <w:r w:rsidR="00FE2C4C">
        <w:rPr>
          <w:rFonts w:ascii="Times New Roman" w:hAnsi="Times New Roman" w:cs="Times New Roman"/>
          <w:sz w:val="24"/>
          <w:szCs w:val="24"/>
        </w:rPr>
        <w:t>95</w:t>
      </w:r>
      <w:r w:rsidR="007E59D1">
        <w:rPr>
          <w:rFonts w:ascii="Times New Roman" w:hAnsi="Times New Roman" w:cs="Times New Roman"/>
          <w:sz w:val="24"/>
          <w:szCs w:val="24"/>
        </w:rPr>
        <w:t xml:space="preserve"> percent increase</w:t>
      </w:r>
      <w:r w:rsidR="00FE2C4C">
        <w:rPr>
          <w:rFonts w:ascii="Times New Roman" w:hAnsi="Times New Roman" w:cs="Times New Roman"/>
          <w:sz w:val="24"/>
          <w:szCs w:val="24"/>
        </w:rPr>
        <w:t xml:space="preserve">.  </w:t>
      </w:r>
      <w:r w:rsidR="007E59D1">
        <w:rPr>
          <w:rFonts w:ascii="Times New Roman" w:hAnsi="Times New Roman" w:cs="Times New Roman"/>
          <w:sz w:val="24"/>
          <w:szCs w:val="24"/>
        </w:rPr>
        <w:t xml:space="preserve">On the negative side, Labor Relations Specialists is estimated to lose </w:t>
      </w:r>
      <w:r w:rsidR="00FE2C4C">
        <w:rPr>
          <w:rFonts w:ascii="Times New Roman" w:hAnsi="Times New Roman" w:cs="Times New Roman"/>
          <w:sz w:val="24"/>
          <w:szCs w:val="24"/>
        </w:rPr>
        <w:t>six</w:t>
      </w:r>
      <w:r w:rsidR="007E59D1">
        <w:rPr>
          <w:rFonts w:ascii="Times New Roman" w:hAnsi="Times New Roman" w:cs="Times New Roman"/>
          <w:sz w:val="24"/>
          <w:szCs w:val="24"/>
        </w:rPr>
        <w:t xml:space="preserve"> jobs, a 1.</w:t>
      </w:r>
      <w:r w:rsidR="00FE2C4C">
        <w:rPr>
          <w:rFonts w:ascii="Times New Roman" w:hAnsi="Times New Roman" w:cs="Times New Roman"/>
          <w:sz w:val="24"/>
          <w:szCs w:val="24"/>
        </w:rPr>
        <w:t>59</w:t>
      </w:r>
      <w:r w:rsidR="007E59D1">
        <w:rPr>
          <w:rFonts w:ascii="Times New Roman" w:hAnsi="Times New Roman" w:cs="Times New Roman"/>
          <w:sz w:val="24"/>
          <w:szCs w:val="24"/>
        </w:rPr>
        <w:t xml:space="preserve"> percent decline.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7E59D1">
        <w:rPr>
          <w:rFonts w:ascii="Times New Roman" w:hAnsi="Times New Roman" w:cs="Times New Roman"/>
          <w:sz w:val="24"/>
          <w:szCs w:val="24"/>
        </w:rPr>
        <w:t>4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402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  <w:r w:rsidR="00A53406">
        <w:rPr>
          <w:rFonts w:ascii="Times New Roman" w:hAnsi="Times New Roman" w:cs="Times New Roman"/>
          <w:sz w:val="24"/>
          <w:szCs w:val="24"/>
        </w:rPr>
        <w:br/>
      </w:r>
    </w:p>
    <w:p w:rsidR="00F02E1E" w:rsidRPr="00F02E1E" w:rsidRDefault="00035EEF" w:rsidP="00A5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7E59D1">
        <w:rPr>
          <w:rFonts w:ascii="Times New Roman" w:hAnsi="Times New Roman" w:cs="Times New Roman"/>
          <w:b/>
          <w:i/>
          <w:sz w:val="24"/>
          <w:szCs w:val="24"/>
        </w:rPr>
        <w:t>Financial Specialists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9D1" w:rsidRPr="007E59D1">
        <w:rPr>
          <w:rFonts w:ascii="Times New Roman" w:hAnsi="Times New Roman" w:cs="Times New Roman"/>
          <w:sz w:val="24"/>
          <w:szCs w:val="24"/>
        </w:rPr>
        <w:t>occupational family</w:t>
      </w:r>
      <w:r w:rsidR="007E5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7E59D1">
        <w:rPr>
          <w:rFonts w:ascii="Times New Roman" w:hAnsi="Times New Roman" w:cs="Times New Roman"/>
          <w:sz w:val="24"/>
          <w:szCs w:val="24"/>
        </w:rPr>
        <w:t>6</w:t>
      </w:r>
      <w:r w:rsidR="00FE2C4C">
        <w:rPr>
          <w:rFonts w:ascii="Times New Roman" w:hAnsi="Times New Roman" w:cs="Times New Roman"/>
          <w:sz w:val="24"/>
          <w:szCs w:val="24"/>
        </w:rPr>
        <w:t>69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3.</w:t>
      </w:r>
      <w:r w:rsidR="00FE2C4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7E59D1">
        <w:rPr>
          <w:rFonts w:ascii="Times New Roman" w:hAnsi="Times New Roman" w:cs="Times New Roman"/>
          <w:sz w:val="24"/>
          <w:szCs w:val="24"/>
        </w:rPr>
        <w:t xml:space="preserve">Accountants and Auditors is estimated to be the top growing occupation in the </w:t>
      </w:r>
      <w:r w:rsidR="00FE2C4C" w:rsidRPr="00FE2C4C">
        <w:rPr>
          <w:rFonts w:ascii="Times New Roman" w:hAnsi="Times New Roman" w:cs="Times New Roman"/>
          <w:sz w:val="24"/>
          <w:szCs w:val="24"/>
        </w:rPr>
        <w:t>occupational family</w:t>
      </w:r>
      <w:r w:rsidR="007E59D1">
        <w:rPr>
          <w:rFonts w:ascii="Times New Roman" w:hAnsi="Times New Roman" w:cs="Times New Roman"/>
          <w:sz w:val="24"/>
          <w:szCs w:val="24"/>
        </w:rPr>
        <w:t xml:space="preserve"> with a gain of </w:t>
      </w:r>
      <w:r w:rsidR="00FE2C4C">
        <w:rPr>
          <w:rFonts w:ascii="Times New Roman" w:hAnsi="Times New Roman" w:cs="Times New Roman"/>
          <w:sz w:val="24"/>
          <w:szCs w:val="24"/>
        </w:rPr>
        <w:t>292.</w:t>
      </w:r>
      <w:r w:rsidR="00F02E1E">
        <w:rPr>
          <w:rFonts w:ascii="Times New Roman" w:hAnsi="Times New Roman" w:cs="Times New Roman"/>
          <w:sz w:val="24"/>
          <w:szCs w:val="24"/>
        </w:rPr>
        <w:t xml:space="preserve">  </w:t>
      </w:r>
      <w:r w:rsidR="00FE2C4C">
        <w:rPr>
          <w:rFonts w:ascii="Times New Roman" w:hAnsi="Times New Roman" w:cs="Times New Roman"/>
          <w:sz w:val="24"/>
          <w:szCs w:val="24"/>
        </w:rPr>
        <w:t xml:space="preserve">At 9.70 percent, </w:t>
      </w:r>
      <w:r w:rsidR="00F02E1E" w:rsidRPr="00F02E1E">
        <w:rPr>
          <w:rFonts w:ascii="Times New Roman" w:hAnsi="Times New Roman" w:cs="Times New Roman"/>
          <w:sz w:val="24"/>
          <w:szCs w:val="24"/>
        </w:rPr>
        <w:t>Insurance Underwriters</w:t>
      </w:r>
      <w:r w:rsidR="00F02E1E">
        <w:rPr>
          <w:rFonts w:ascii="Times New Roman" w:hAnsi="Times New Roman" w:cs="Times New Roman"/>
          <w:sz w:val="24"/>
          <w:szCs w:val="24"/>
        </w:rPr>
        <w:t xml:space="preserve"> is predicted to be the fastest growing in the major group and </w:t>
      </w:r>
      <w:r w:rsidR="00FE2C4C">
        <w:rPr>
          <w:rFonts w:ascii="Times New Roman" w:hAnsi="Times New Roman" w:cs="Times New Roman"/>
          <w:sz w:val="24"/>
          <w:szCs w:val="24"/>
        </w:rPr>
        <w:t>sixth statewide in percent change.</w:t>
      </w:r>
      <w:r w:rsidR="00F02E1E">
        <w:rPr>
          <w:rFonts w:ascii="Times New Roman" w:hAnsi="Times New Roman" w:cs="Times New Roman"/>
          <w:sz w:val="24"/>
          <w:szCs w:val="24"/>
        </w:rPr>
        <w:t xml:space="preserve">  The occupational family is expecting around </w:t>
      </w:r>
      <w:r w:rsidR="00FE2C4C">
        <w:rPr>
          <w:rFonts w:ascii="Times New Roman" w:hAnsi="Times New Roman" w:cs="Times New Roman"/>
          <w:sz w:val="24"/>
          <w:szCs w:val="24"/>
        </w:rPr>
        <w:t>2</w:t>
      </w:r>
      <w:r w:rsidR="00F02E1E">
        <w:rPr>
          <w:rFonts w:ascii="Times New Roman" w:hAnsi="Times New Roman" w:cs="Times New Roman"/>
          <w:sz w:val="24"/>
          <w:szCs w:val="24"/>
        </w:rPr>
        <w:t>,</w:t>
      </w:r>
      <w:r w:rsidR="00FE2C4C">
        <w:rPr>
          <w:rFonts w:ascii="Times New Roman" w:hAnsi="Times New Roman" w:cs="Times New Roman"/>
          <w:sz w:val="24"/>
          <w:szCs w:val="24"/>
        </w:rPr>
        <w:t>058</w:t>
      </w:r>
      <w:r w:rsidR="00F02E1E">
        <w:rPr>
          <w:rFonts w:ascii="Times New Roman" w:hAnsi="Times New Roman" w:cs="Times New Roman"/>
          <w:sz w:val="24"/>
          <w:szCs w:val="24"/>
        </w:rPr>
        <w:t xml:space="preserve"> annual job openings.</w:t>
      </w:r>
      <w:r w:rsidR="00A53406">
        <w:rPr>
          <w:rFonts w:ascii="Times New Roman" w:hAnsi="Times New Roman" w:cs="Times New Roman"/>
          <w:sz w:val="24"/>
          <w:szCs w:val="24"/>
        </w:rPr>
        <w:br/>
      </w:r>
    </w:p>
    <w:p w:rsidR="00490AD7" w:rsidRDefault="00F02E1E" w:rsidP="00A53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BDA0BC" wp14:editId="74CC3245">
            <wp:extent cx="5676900" cy="2857500"/>
            <wp:effectExtent l="57150" t="57150" r="57150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923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B5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A517B5">
        <w:rPr>
          <w:rFonts w:ascii="Times New Roman" w:hAnsi="Times New Roman" w:cs="Times New Roman"/>
          <w:b/>
          <w:sz w:val="24"/>
          <w:szCs w:val="24"/>
        </w:rPr>
        <w:br/>
      </w:r>
      <w:r w:rsidR="00902649" w:rsidRPr="00A517B5">
        <w:rPr>
          <w:rFonts w:ascii="Times New Roman" w:hAnsi="Times New Roman" w:cs="Times New Roman"/>
          <w:b/>
          <w:sz w:val="24"/>
          <w:szCs w:val="24"/>
        </w:rPr>
        <w:t xml:space="preserve">Business and Financial Operations </w:t>
      </w:r>
      <w:r w:rsidR="00B06C70" w:rsidRPr="00A517B5">
        <w:rPr>
          <w:rFonts w:ascii="Times New Roman" w:hAnsi="Times New Roman" w:cs="Times New Roman"/>
          <w:b/>
          <w:sz w:val="24"/>
          <w:szCs w:val="24"/>
        </w:rPr>
        <w:t>Occupations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345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A517B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A5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A5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A5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345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</w:tr>
      <w:tr w:rsidR="00A517B5" w:rsidRPr="00A517B5" w:rsidTr="00A517B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A517B5" w:rsidRPr="00A517B5" w:rsidRDefault="00A517B5" w:rsidP="00A5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A517B5" w:rsidRPr="00A517B5" w:rsidRDefault="00A517B5" w:rsidP="00A517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1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</w:tr>
    </w:tbl>
    <w:p w:rsidR="00A517B5" w:rsidRPr="00A53406" w:rsidRDefault="00A517B5" w:rsidP="0092391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4CE3" w:rsidRPr="00D935FB" w:rsidRDefault="00834CE3" w:rsidP="00CD7519">
      <w:pPr>
        <w:rPr>
          <w:rFonts w:ascii="Times New Roman" w:hAnsi="Times New Roman" w:cs="Times New Roman"/>
          <w:sz w:val="24"/>
          <w:szCs w:val="24"/>
        </w:rPr>
      </w:pPr>
    </w:p>
    <w:sectPr w:rsidR="00834CE3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202492"/>
    <w:rsid w:val="0029218E"/>
    <w:rsid w:val="002D730C"/>
    <w:rsid w:val="002E0A24"/>
    <w:rsid w:val="002E2564"/>
    <w:rsid w:val="003369C7"/>
    <w:rsid w:val="003A4556"/>
    <w:rsid w:val="003A6F63"/>
    <w:rsid w:val="00440DB3"/>
    <w:rsid w:val="00457BC4"/>
    <w:rsid w:val="00490AD7"/>
    <w:rsid w:val="004D0738"/>
    <w:rsid w:val="00504AAD"/>
    <w:rsid w:val="0052763B"/>
    <w:rsid w:val="00580031"/>
    <w:rsid w:val="005F6BBA"/>
    <w:rsid w:val="0062204B"/>
    <w:rsid w:val="006468CA"/>
    <w:rsid w:val="00656C30"/>
    <w:rsid w:val="00752A6F"/>
    <w:rsid w:val="00773BB3"/>
    <w:rsid w:val="007B4A77"/>
    <w:rsid w:val="007E59D1"/>
    <w:rsid w:val="00834CE3"/>
    <w:rsid w:val="008D3069"/>
    <w:rsid w:val="00902649"/>
    <w:rsid w:val="00923912"/>
    <w:rsid w:val="00A2382C"/>
    <w:rsid w:val="00A304F2"/>
    <w:rsid w:val="00A517B5"/>
    <w:rsid w:val="00A53406"/>
    <w:rsid w:val="00A903FA"/>
    <w:rsid w:val="00AF4491"/>
    <w:rsid w:val="00B06C70"/>
    <w:rsid w:val="00BE0E5F"/>
    <w:rsid w:val="00C8302D"/>
    <w:rsid w:val="00CC2B88"/>
    <w:rsid w:val="00CD7519"/>
    <w:rsid w:val="00CE1B52"/>
    <w:rsid w:val="00CF53CC"/>
    <w:rsid w:val="00D1697D"/>
    <w:rsid w:val="00D257C2"/>
    <w:rsid w:val="00D935FB"/>
    <w:rsid w:val="00E60146"/>
    <w:rsid w:val="00E61819"/>
    <w:rsid w:val="00E87BAD"/>
    <w:rsid w:val="00EC493B"/>
    <w:rsid w:val="00EF6C8A"/>
    <w:rsid w:val="00EF7503"/>
    <w:rsid w:val="00F02E1E"/>
    <w:rsid w:val="00F127EA"/>
    <w:rsid w:val="00F54BEC"/>
    <w:rsid w:val="00F76A6E"/>
    <w:rsid w:val="00FA0B7E"/>
    <w:rsid w:val="00FB210B"/>
    <w:rsid w:val="00FC250B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Business and Financial</a:t>
            </a:r>
            <a:r>
              <a:rPr lang="en-US" b="1" baseline="0"/>
              <a:t> Operations</a:t>
            </a:r>
            <a:r>
              <a:rPr lang="en-US" b="1"/>
              <a:t> Occupations</a:t>
            </a:r>
          </a:p>
        </c:rich>
      </c:tx>
      <c:layout>
        <c:manualLayout>
          <c:xMode val="edge"/>
          <c:yMode val="edge"/>
          <c:x val="0.21267602467530197"/>
          <c:y val="2.82548952480684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Business Operations Specialists (13-1000)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719474880454801E-3"/>
                  <c:y val="0.2331300087489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Business and Financial Operations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4.1099999999999998E-2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Financial Specialists (13-2000)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250422400903592E-3"/>
                  <c:y val="0.1817676290463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Business and Financial Operations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7055248"/>
        <c:axId val="617055808"/>
        <c:axId val="0"/>
      </c:bar3DChart>
      <c:catAx>
        <c:axId val="6170552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7055808"/>
        <c:crosses val="autoZero"/>
        <c:auto val="1"/>
        <c:lblAlgn val="ctr"/>
        <c:lblOffset val="100"/>
        <c:noMultiLvlLbl val="0"/>
      </c:catAx>
      <c:valAx>
        <c:axId val="6170558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055248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6733650717902687"/>
          <c:y val="1.98412235507598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86344888707099"/>
          <c:y val="0.20009591393668383"/>
          <c:w val="0.6715677785517572"/>
          <c:h val="0.593933054664463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Business Operations Specialists (13-1000)</c:v>
                </c:pt>
                <c:pt idx="1">
                  <c:v>Financial Specialists (13-2000)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1200</c:v>
                </c:pt>
                <c:pt idx="1">
                  <c:v>602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Business Operations Specialists (13-1000)</c:v>
                </c:pt>
                <c:pt idx="1">
                  <c:v>Financial Specialists (13-2000)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2402</c:v>
                </c:pt>
                <c:pt idx="1">
                  <c:v>1122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Business Operations Specialists (13-1000)</c:v>
                </c:pt>
                <c:pt idx="1">
                  <c:v>Financial Specialists (13-2000)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800</c:v>
                </c:pt>
                <c:pt idx="1">
                  <c:v>334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7.2716667992258538E-2"/>
                  <c:y val="1.980752405949316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023652346486985"/>
                  <c:y val="-3.29140338939102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Business Operations Specialists (13-1000)</c:v>
                </c:pt>
                <c:pt idx="1">
                  <c:v>Financial Specialists (13-2000)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4402</c:v>
                </c:pt>
                <c:pt idx="1">
                  <c:v>2058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7059728"/>
        <c:axId val="617060288"/>
      </c:barChart>
      <c:catAx>
        <c:axId val="6170597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7060288"/>
        <c:crossesAt val="0"/>
        <c:auto val="1"/>
        <c:lblAlgn val="ctr"/>
        <c:lblOffset val="100"/>
        <c:tickLblSkip val="1"/>
        <c:noMultiLvlLbl val="0"/>
      </c:catAx>
      <c:valAx>
        <c:axId val="617060288"/>
        <c:scaling>
          <c:orientation val="minMax"/>
          <c:max val="5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7059728"/>
        <c:crosses val="autoZero"/>
        <c:crossBetween val="between"/>
        <c:majorUnit val="12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6915855215067811"/>
          <c:y val="0.81808885000486065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0.47186</cdr:x>
      <cdr:y>0.91369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76" y="3524673"/>
          <a:ext cx="348614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ED4-53AD-4865-908F-7170791C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29</cp:revision>
  <cp:lastPrinted>2017-07-17T20:28:00Z</cp:lastPrinted>
  <dcterms:created xsi:type="dcterms:W3CDTF">2016-08-09T16:00:00Z</dcterms:created>
  <dcterms:modified xsi:type="dcterms:W3CDTF">2019-08-09T15:52:00Z</dcterms:modified>
</cp:coreProperties>
</file>